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58" w:rsidRDefault="00642058" w:rsidP="00FE5C73">
      <w:pPr>
        <w:rPr>
          <w:rFonts w:ascii="ＭＳ 明朝" w:eastAsia="ＭＳ 明朝" w:hAnsi="ＭＳ 明朝"/>
          <w:sz w:val="28"/>
          <w:szCs w:val="28"/>
        </w:rPr>
      </w:pPr>
      <w:r>
        <w:rPr>
          <w:rFonts w:ascii="ＭＳ 明朝" w:eastAsia="ＭＳ 明朝" w:hAnsi="ＭＳ 明朝" w:hint="eastAsia"/>
          <w:sz w:val="28"/>
          <w:szCs w:val="28"/>
        </w:rPr>
        <w:t>閉止弁の設置</w:t>
      </w:r>
    </w:p>
    <w:p w:rsidR="00642058" w:rsidRPr="00642058" w:rsidRDefault="00642058" w:rsidP="00642058">
      <w:pPr>
        <w:ind w:firstLineChars="100" w:firstLine="210"/>
        <w:rPr>
          <w:rFonts w:ascii="ＭＳ 明朝" w:eastAsia="ＭＳ 明朝" w:hAnsi="ＭＳ 明朝"/>
          <w:sz w:val="28"/>
          <w:szCs w:val="28"/>
        </w:rPr>
      </w:pPr>
      <w:r>
        <w:rPr>
          <w:rFonts w:ascii="ＭＳ 明朝" w:eastAsia="ＭＳ 明朝" w:hAnsi="ＭＳ 明朝" w:hint="eastAsia"/>
          <w:szCs w:val="21"/>
        </w:rPr>
        <w:t>「閉止弁」を</w:t>
      </w:r>
      <w:r w:rsidRPr="00642058">
        <w:rPr>
          <w:rFonts w:ascii="ＭＳ 明朝" w:eastAsia="ＭＳ 明朝" w:hAnsi="ＭＳ 明朝" w:hint="eastAsia"/>
          <w:b/>
          <w:szCs w:val="21"/>
          <w:u w:val="single"/>
        </w:rPr>
        <w:t>令和６年３月３１日</w:t>
      </w:r>
      <w:r>
        <w:rPr>
          <w:rFonts w:ascii="ＭＳ 明朝" w:eastAsia="ＭＳ 明朝" w:hAnsi="ＭＳ 明朝" w:hint="eastAsia"/>
          <w:szCs w:val="21"/>
        </w:rPr>
        <w:t>までに設置する必要があります。</w:t>
      </w:r>
    </w:p>
    <w:p w:rsidR="00642058" w:rsidRDefault="00642058" w:rsidP="00642058">
      <w:pPr>
        <w:ind w:firstLineChars="150" w:firstLine="315"/>
        <w:rPr>
          <w:rFonts w:ascii="ＭＳ 明朝" w:eastAsia="ＭＳ 明朝" w:hAnsi="ＭＳ 明朝"/>
          <w:szCs w:val="21"/>
        </w:rPr>
      </w:pPr>
      <w:r>
        <w:rPr>
          <w:rFonts w:ascii="ＭＳ 明朝" w:eastAsia="ＭＳ 明朝" w:hAnsi="ＭＳ 明朝" w:hint="eastAsia"/>
          <w:szCs w:val="21"/>
        </w:rPr>
        <w:t>なお、閉止弁を設置する時期に応じて、閉止弁に求められる基準が異なることに注意してください。</w:t>
      </w:r>
    </w:p>
    <w:p w:rsidR="00836A5D" w:rsidRPr="00300EBC" w:rsidRDefault="00836A5D" w:rsidP="00642058">
      <w:pPr>
        <w:ind w:firstLineChars="150" w:firstLine="315"/>
        <w:rPr>
          <w:rFonts w:ascii="ＭＳ 明朝" w:eastAsia="ＭＳ 明朝" w:hAnsi="ＭＳ 明朝" w:hint="eastAsia"/>
          <w:szCs w:val="21"/>
        </w:rPr>
      </w:pPr>
    </w:p>
    <w:p w:rsidR="00300EBC" w:rsidRDefault="00642058" w:rsidP="00FE5C73">
      <w:pPr>
        <w:rPr>
          <w:rFonts w:ascii="ＭＳ 明朝" w:eastAsia="ＭＳ 明朝" w:hAnsi="ＭＳ 明朝"/>
          <w:szCs w:val="21"/>
        </w:rPr>
      </w:pPr>
      <w:r>
        <w:rPr>
          <w:rFonts w:ascii="ＭＳ 明朝" w:eastAsia="ＭＳ 明朝" w:hAnsi="ＭＳ 明朝" w:hint="eastAsia"/>
          <w:szCs w:val="21"/>
        </w:rPr>
        <w:t>（パターン１）</w:t>
      </w:r>
    </w:p>
    <w:p w:rsidR="00642058" w:rsidRDefault="005B4C03" w:rsidP="00FE5C73">
      <w:pPr>
        <w:rPr>
          <w:rFonts w:ascii="ＭＳ 明朝" w:eastAsia="ＭＳ 明朝" w:hAnsi="ＭＳ 明朝"/>
          <w:szCs w:val="21"/>
        </w:rPr>
      </w:pPr>
      <w:r>
        <w:rPr>
          <w:rFonts w:ascii="ＭＳ 明朝" w:eastAsia="ＭＳ 明朝" w:hAnsi="ＭＳ 明朝" w:hint="eastAsia"/>
          <w:szCs w:val="21"/>
        </w:rPr>
        <w:t>・既に閉止弁が</w:t>
      </w:r>
      <w:r w:rsidR="00642058">
        <w:rPr>
          <w:rFonts w:ascii="ＭＳ 明朝" w:eastAsia="ＭＳ 明朝" w:hAnsi="ＭＳ 明朝" w:hint="eastAsia"/>
          <w:szCs w:val="21"/>
        </w:rPr>
        <w:t>設置されている場合</w:t>
      </w:r>
      <w:r>
        <w:rPr>
          <w:rFonts w:ascii="ＭＳ 明朝" w:eastAsia="ＭＳ 明朝" w:hAnsi="ＭＳ 明朝" w:hint="eastAsia"/>
          <w:szCs w:val="21"/>
        </w:rPr>
        <w:t>/令和５年３月３１日までに設置する場合</w:t>
      </w:r>
    </w:p>
    <w:p w:rsidR="005B4C03" w:rsidRDefault="005B4C03" w:rsidP="00FE5C73">
      <w:pPr>
        <w:rPr>
          <w:rFonts w:ascii="ＭＳ 明朝" w:eastAsia="ＭＳ 明朝" w:hAnsi="ＭＳ 明朝"/>
          <w:szCs w:val="21"/>
        </w:rPr>
      </w:pPr>
      <w:r>
        <w:rPr>
          <w:rFonts w:ascii="ＭＳ 明朝" w:eastAsia="ＭＳ 明朝" w:hAnsi="ＭＳ 明朝" w:hint="eastAsia"/>
          <w:szCs w:val="21"/>
        </w:rPr>
        <w:t xml:space="preserve">　→「不活性ガス消火設備の閉止弁の基準」（令和４年消防庁告示</w:t>
      </w:r>
      <w:r w:rsidR="00C47F7D">
        <w:rPr>
          <w:rFonts w:ascii="ＭＳ 明朝" w:eastAsia="ＭＳ 明朝" w:hAnsi="ＭＳ 明朝" w:hint="eastAsia"/>
          <w:szCs w:val="21"/>
        </w:rPr>
        <w:t>第</w:t>
      </w:r>
      <w:r>
        <w:rPr>
          <w:rFonts w:ascii="ＭＳ 明朝" w:eastAsia="ＭＳ 明朝" w:hAnsi="ＭＳ 明朝" w:hint="eastAsia"/>
          <w:szCs w:val="21"/>
        </w:rPr>
        <w:t>８号。以下「告示基準」という。）第８で規定される「表示」の</w:t>
      </w:r>
      <w:r w:rsidR="00C47F7D">
        <w:rPr>
          <w:rFonts w:ascii="ＭＳ 明朝" w:eastAsia="ＭＳ 明朝" w:hAnsi="ＭＳ 明朝" w:hint="eastAsia"/>
          <w:szCs w:val="21"/>
        </w:rPr>
        <w:t>基準の</w:t>
      </w:r>
      <w:bookmarkStart w:id="0" w:name="_GoBack"/>
      <w:bookmarkEnd w:id="0"/>
      <w:r>
        <w:rPr>
          <w:rFonts w:ascii="ＭＳ 明朝" w:eastAsia="ＭＳ 明朝" w:hAnsi="ＭＳ 明朝" w:hint="eastAsia"/>
          <w:szCs w:val="21"/>
        </w:rPr>
        <w:t>ほか、次の事項に適合する閉止弁を設置する必要があります。（告示基準に適合する閉止弁を設置することもできます。）</w:t>
      </w:r>
    </w:p>
    <w:p w:rsidR="005B4C03" w:rsidRDefault="00836A5D" w:rsidP="00FE5C73">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1" locked="0" layoutInCell="1" allowOverlap="1" wp14:anchorId="496D3914" wp14:editId="7E33943F">
                <wp:simplePos x="0" y="0"/>
                <wp:positionH relativeFrom="margin">
                  <wp:align>left</wp:align>
                </wp:positionH>
                <wp:positionV relativeFrom="paragraph">
                  <wp:posOffset>-3175</wp:posOffset>
                </wp:positionV>
                <wp:extent cx="4257675" cy="7334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257675" cy="7334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366667" id="角丸四角形 1" o:spid="_x0000_s1026" style="position:absolute;left:0;text-align:left;margin-left:0;margin-top:-.25pt;width:335.25pt;height:57.7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" filled="f" strokecolor="windowText" strokeweight="1pt">
                <v:stroke joinstyle="miter"/>
                <w10:wrap anchorx="margin"/>
              </v:roundrect>
            </w:pict>
          </mc:Fallback>
        </mc:AlternateContent>
      </w:r>
      <w:r w:rsidR="005B4C03">
        <w:rPr>
          <w:rFonts w:ascii="ＭＳ 明朝" w:eastAsia="ＭＳ 明朝" w:hAnsi="ＭＳ 明朝" w:hint="eastAsia"/>
          <w:szCs w:val="21"/>
        </w:rPr>
        <w:t>・直接操作による操作部分に、操作方向又は開閉位置を表示する。</w:t>
      </w:r>
    </w:p>
    <w:p w:rsidR="005B4C03" w:rsidRDefault="005B4C03" w:rsidP="00FE5C73">
      <w:pPr>
        <w:rPr>
          <w:rFonts w:ascii="ＭＳ 明朝" w:eastAsia="ＭＳ 明朝" w:hAnsi="ＭＳ 明朝"/>
          <w:szCs w:val="21"/>
        </w:rPr>
      </w:pPr>
      <w:r>
        <w:rPr>
          <w:rFonts w:ascii="ＭＳ 明朝" w:eastAsia="ＭＳ 明朝" w:hAnsi="ＭＳ 明朝" w:hint="eastAsia"/>
          <w:szCs w:val="21"/>
        </w:rPr>
        <w:t>・見やすい箇所に、常時開放し点検時に閉止する旨を表示する。</w:t>
      </w:r>
    </w:p>
    <w:p w:rsidR="005B4C03" w:rsidRDefault="005B4C03" w:rsidP="00FE5C73">
      <w:pPr>
        <w:rPr>
          <w:rFonts w:ascii="ＭＳ 明朝" w:eastAsia="ＭＳ 明朝" w:hAnsi="ＭＳ 明朝"/>
          <w:szCs w:val="21"/>
        </w:rPr>
      </w:pPr>
      <w:r>
        <w:rPr>
          <w:rFonts w:ascii="ＭＳ 明朝" w:eastAsia="ＭＳ 明朝" w:hAnsi="ＭＳ 明朝" w:hint="eastAsia"/>
          <w:szCs w:val="21"/>
        </w:rPr>
        <w:t>・直接操作又は遠隔操作した場合に、確実に開閉する。</w:t>
      </w:r>
    </w:p>
    <w:p w:rsidR="00836A5D" w:rsidRDefault="00836A5D" w:rsidP="00FE5C73">
      <w:pPr>
        <w:rPr>
          <w:rFonts w:ascii="ＭＳ 明朝" w:eastAsia="ＭＳ 明朝" w:hAnsi="ＭＳ 明朝"/>
          <w:szCs w:val="21"/>
        </w:rPr>
      </w:pPr>
    </w:p>
    <w:p w:rsidR="00836A5D" w:rsidRDefault="00836A5D" w:rsidP="00836A5D">
      <w:pPr>
        <w:rPr>
          <w:rFonts w:ascii="ＭＳ 明朝" w:eastAsia="ＭＳ 明朝" w:hAnsi="ＭＳ 明朝"/>
          <w:szCs w:val="21"/>
        </w:rPr>
      </w:pPr>
      <w:r>
        <w:rPr>
          <w:rFonts w:ascii="ＭＳ 明朝" w:eastAsia="ＭＳ 明朝" w:hAnsi="ＭＳ 明朝" w:hint="eastAsia"/>
          <w:szCs w:val="21"/>
        </w:rPr>
        <w:t>（パターン２</w:t>
      </w:r>
      <w:r>
        <w:rPr>
          <w:rFonts w:ascii="ＭＳ 明朝" w:eastAsia="ＭＳ 明朝" w:hAnsi="ＭＳ 明朝" w:hint="eastAsia"/>
          <w:szCs w:val="21"/>
        </w:rPr>
        <w:t>）</w:t>
      </w:r>
    </w:p>
    <w:p w:rsidR="00836A5D" w:rsidRDefault="00836A5D" w:rsidP="00FE5C73">
      <w:pPr>
        <w:rPr>
          <w:rFonts w:ascii="ＭＳ 明朝" w:eastAsia="ＭＳ 明朝" w:hAnsi="ＭＳ 明朝"/>
          <w:szCs w:val="21"/>
        </w:rPr>
      </w:pPr>
      <w:r>
        <w:rPr>
          <w:rFonts w:ascii="ＭＳ 明朝" w:eastAsia="ＭＳ 明朝" w:hAnsi="ＭＳ 明朝" w:hint="eastAsia"/>
          <w:szCs w:val="21"/>
        </w:rPr>
        <w:t>・令和５年４月１日から令和６年３月３１日までの間に設置する場合</w:t>
      </w:r>
    </w:p>
    <w:p w:rsidR="00836A5D" w:rsidRDefault="00836A5D" w:rsidP="00FE5C73">
      <w:pPr>
        <w:rPr>
          <w:rFonts w:ascii="ＭＳ 明朝" w:eastAsia="ＭＳ 明朝" w:hAnsi="ＭＳ 明朝"/>
          <w:szCs w:val="21"/>
        </w:rPr>
      </w:pPr>
      <w:r>
        <w:rPr>
          <w:rFonts w:ascii="ＭＳ 明朝" w:eastAsia="ＭＳ 明朝" w:hAnsi="ＭＳ 明朝" w:hint="eastAsia"/>
          <w:szCs w:val="21"/>
        </w:rPr>
        <w:t>→告示基準（次に掲げる基準を除く。）に適合する閉止弁を設置する必要があります。（</w:t>
      </w:r>
      <w:r w:rsidR="004B0919">
        <w:rPr>
          <w:rFonts w:ascii="ＭＳ 明朝" w:eastAsia="ＭＳ 明朝" w:hAnsi="ＭＳ 明朝" w:hint="eastAsia"/>
          <w:szCs w:val="21"/>
        </w:rPr>
        <w:t>告示基準に適合する閉止弁を設置することもできます。）</w:t>
      </w:r>
    </w:p>
    <w:p w:rsidR="004B0919" w:rsidRDefault="004B0919" w:rsidP="004B0919">
      <w:pPr>
        <w:ind w:left="210" w:hangingChars="100" w:hanging="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1" locked="0" layoutInCell="1" allowOverlap="1" wp14:anchorId="14D49FA0" wp14:editId="3BFC6FDA">
                <wp:simplePos x="0" y="0"/>
                <wp:positionH relativeFrom="margin">
                  <wp:align>left</wp:align>
                </wp:positionH>
                <wp:positionV relativeFrom="paragraph">
                  <wp:posOffset>6350</wp:posOffset>
                </wp:positionV>
                <wp:extent cx="5686425" cy="9525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686425" cy="952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63A19" id="角丸四角形 2" o:spid="_x0000_s1026" style="position:absolute;left:0;text-align:left;margin-left:0;margin-top:.5pt;width:447.75pt;height: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" filled="f" strokecolor="windowText" strokeweight="1pt">
                <v:stroke joinstyle="miter"/>
                <w10:wrap anchorx="margin"/>
              </v:roundrect>
            </w:pict>
          </mc:Fallback>
        </mc:AlternateContent>
      </w:r>
      <w:r>
        <w:rPr>
          <w:rFonts w:ascii="ＭＳ 明朝" w:eastAsia="ＭＳ 明朝" w:hAnsi="ＭＳ 明朝" w:hint="eastAsia"/>
          <w:szCs w:val="21"/>
        </w:rPr>
        <w:t>・開放及び閉止の旨の信号を制御盤に発信するスイッチ等が設けられていること。（告示基準第２、第４号）</w:t>
      </w:r>
    </w:p>
    <w:p w:rsidR="004B0919" w:rsidRDefault="004B0919" w:rsidP="004B0919">
      <w:pPr>
        <w:ind w:left="210" w:hangingChars="100" w:hanging="210"/>
        <w:rPr>
          <w:rFonts w:ascii="ＭＳ 明朝" w:eastAsia="ＭＳ 明朝" w:hAnsi="ＭＳ 明朝"/>
          <w:szCs w:val="21"/>
        </w:rPr>
      </w:pPr>
      <w:r>
        <w:rPr>
          <w:rFonts w:ascii="ＭＳ 明朝" w:eastAsia="ＭＳ 明朝" w:hAnsi="ＭＳ 明朝" w:hint="eastAsia"/>
          <w:szCs w:val="21"/>
        </w:rPr>
        <w:t>・閉止の状態で閉止の旨の信号が発せられること。（告示基準第６、第２号）</w:t>
      </w:r>
    </w:p>
    <w:p w:rsidR="004B0919" w:rsidRPr="00300EBC" w:rsidRDefault="004B0919" w:rsidP="004B0919">
      <w:pPr>
        <w:ind w:left="210" w:hangingChars="100" w:hanging="210"/>
        <w:rPr>
          <w:rFonts w:ascii="ＭＳ 明朝" w:eastAsia="ＭＳ 明朝" w:hAnsi="ＭＳ 明朝" w:hint="eastAsia"/>
          <w:szCs w:val="21"/>
        </w:rPr>
      </w:pPr>
      <w:r>
        <w:rPr>
          <w:rFonts w:ascii="ＭＳ 明朝" w:eastAsia="ＭＳ 明朝" w:hAnsi="ＭＳ 明朝" w:hint="eastAsia"/>
          <w:szCs w:val="21"/>
        </w:rPr>
        <w:t>・開放の状態で開放の旨の信号が発せられること。（告示基準第６、第３号）</w:t>
      </w:r>
    </w:p>
    <w:sectPr w:rsidR="004B0919" w:rsidRPr="00300E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2B"/>
    <w:rsid w:val="00257FBD"/>
    <w:rsid w:val="002847D9"/>
    <w:rsid w:val="00300EBC"/>
    <w:rsid w:val="003C70B4"/>
    <w:rsid w:val="004B0919"/>
    <w:rsid w:val="005B4C03"/>
    <w:rsid w:val="005C102B"/>
    <w:rsid w:val="005D3D23"/>
    <w:rsid w:val="00642058"/>
    <w:rsid w:val="00836A5D"/>
    <w:rsid w:val="008D1061"/>
    <w:rsid w:val="00A3083E"/>
    <w:rsid w:val="00AC5E06"/>
    <w:rsid w:val="00B71502"/>
    <w:rsid w:val="00C47F7D"/>
    <w:rsid w:val="00C836FA"/>
    <w:rsid w:val="00C97200"/>
    <w:rsid w:val="00E12DC0"/>
    <w:rsid w:val="00F20A47"/>
    <w:rsid w:val="00FE5C73"/>
    <w:rsid w:val="00FF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7E823D"/>
  <w15:chartTrackingRefBased/>
  <w15:docId w15:val="{6E477190-C8AB-4C24-B1D4-D4AB05D2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E06"/>
    <w:rPr>
      <w:color w:val="0563C1" w:themeColor="hyperlink"/>
      <w:u w:val="single"/>
    </w:rPr>
  </w:style>
  <w:style w:type="character" w:styleId="a4">
    <w:name w:val="FollowedHyperlink"/>
    <w:basedOn w:val="a0"/>
    <w:uiPriority w:val="99"/>
    <w:semiHidden/>
    <w:unhideWhenUsed/>
    <w:rsid w:val="008D1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祐輔</dc:creator>
  <cp:keywords/>
  <dc:description/>
  <cp:lastModifiedBy>中村　祐輔</cp:lastModifiedBy>
  <cp:revision>12</cp:revision>
  <dcterms:created xsi:type="dcterms:W3CDTF">2023-01-23T01:14:00Z</dcterms:created>
  <dcterms:modified xsi:type="dcterms:W3CDTF">2023-01-23T07:10:00Z</dcterms:modified>
</cp:coreProperties>
</file>