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4911E5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21"/>
        </w:rPr>
      </w:pPr>
      <w:bookmarkStart w:id="0" w:name="OLE_LINK18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 w:rsid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B62704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12</w:t>
      </w:r>
      <w:r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</w:t>
      </w:r>
      <w:r w:rsidR="004911E5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49</w:t>
      </w:r>
      <w:r w:rsidR="000B0024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条の</w:t>
      </w:r>
      <w:r w:rsidR="004911E5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２</w:t>
      </w:r>
      <w:r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関係）</w:t>
      </w:r>
      <w:bookmarkStart w:id="1" w:name="OLE_LINK4"/>
      <w:bookmarkStart w:id="2" w:name="OLE_LINK3"/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895"/>
        <w:gridCol w:w="2976"/>
        <w:gridCol w:w="4536"/>
        <w:gridCol w:w="142"/>
      </w:tblGrid>
      <w:tr w:rsidR="00535799" w:rsidRPr="00535799" w:rsidTr="00F82073">
        <w:trPr>
          <w:trHeight w:val="3799"/>
        </w:trPr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F82073" w:rsidRDefault="004911E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F82073">
              <w:rPr>
                <w:rFonts w:hint="eastAsia"/>
                <w:sz w:val="22"/>
              </w:rPr>
              <w:t>管理区域</w:t>
            </w:r>
            <w:r w:rsidR="00722408" w:rsidRPr="00F82073">
              <w:rPr>
                <w:rFonts w:hint="eastAsia"/>
                <w:sz w:val="22"/>
              </w:rPr>
              <w:t>に搬入された土壌に係る</w:t>
            </w:r>
            <w:r w:rsidR="00FF1340" w:rsidRPr="00F82073">
              <w:rPr>
                <w:rFonts w:hint="eastAsia"/>
                <w:sz w:val="22"/>
              </w:rPr>
              <w:t>届出書</w:t>
            </w:r>
          </w:p>
          <w:p w:rsidR="005E3C51" w:rsidRPr="00F82073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5E3C51" w:rsidRPr="00F82073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F82073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5E3C51" w:rsidRDefault="00F500AD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和泉市長</w:t>
            </w:r>
            <w:r w:rsidR="004911E5" w:rsidRPr="00CD2C73">
              <w:rPr>
                <w:rFonts w:ascii="ＭＳ 明朝" w:hAnsi="ＭＳ 明朝" w:hint="eastAsia"/>
                <w:sz w:val="22"/>
              </w:rPr>
              <w:t xml:space="preserve">　様</w:t>
            </w:r>
          </w:p>
          <w:p w:rsidR="004911E5" w:rsidRDefault="004911E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4911E5" w:rsidRDefault="009513B5" w:rsidP="004911E5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4911E5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4911E5" w:rsidRDefault="004911E5" w:rsidP="004911E5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</w:t>
            </w:r>
            <w:r w:rsidR="002107F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911E5" w:rsidRDefault="004911E5" w:rsidP="004911E5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4911E5" w:rsidRPr="00F82073" w:rsidRDefault="004911E5" w:rsidP="00114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施行規則第49条の</w:t>
            </w:r>
            <w:r w:rsidR="001145C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２の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１第２項第３号</w:t>
            </w: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の規定により、管理区域</w:t>
            </w:r>
            <w:r w:rsid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に搬入された土壌について、次のとおり届け出ます。</w:t>
            </w:r>
          </w:p>
        </w:tc>
        <w:bookmarkStart w:id="3" w:name="_GoBack"/>
        <w:bookmarkEnd w:id="3"/>
      </w:tr>
      <w:tr w:rsidR="00535799" w:rsidRPr="00535799" w:rsidTr="00167530">
        <w:trPr>
          <w:trHeight w:val="51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F82073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="00B9335E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の所在地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F82073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highlight w:val="yellow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の指定</w:t>
            </w:r>
            <w:r w:rsidR="008E3E44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された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F82073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highlight w:val="yellow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Pr="00F82073">
              <w:rPr>
                <w:rFonts w:hint="eastAsia"/>
                <w:sz w:val="22"/>
              </w:rPr>
              <w:t>に</w:t>
            </w:r>
            <w:r w:rsidR="00ED3932" w:rsidRPr="00F82073">
              <w:rPr>
                <w:rFonts w:hint="eastAsia"/>
                <w:sz w:val="22"/>
              </w:rPr>
              <w:t>おける</w:t>
            </w:r>
            <w:r w:rsidRPr="00F82073">
              <w:rPr>
                <w:rFonts w:hint="eastAsia"/>
                <w:sz w:val="22"/>
              </w:rPr>
              <w:t>土壌の搬入の有無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F82073" w:rsidRDefault="00F82073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掘削対象地を含む管理区域</w:t>
            </w:r>
            <w:r w:rsidR="00914146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に土壌が搬入された場合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搬入された年月日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搬入された土壌の量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167530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規則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第</w:t>
            </w:r>
            <w:r w:rsidR="00167530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48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条</w:t>
            </w:r>
            <w:r w:rsidR="00167530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の43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第</w:t>
            </w:r>
            <w:r w:rsidR="00ED3932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２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項第</w:t>
            </w:r>
            <w:r w:rsidR="00ED3932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３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号に定める方法</w:t>
            </w:r>
            <w:r w:rsidR="00EA371B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に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よる調査の結果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int="eastAsia"/>
                <w:sz w:val="22"/>
              </w:rPr>
              <w:t>分析を行った計量法</w:t>
            </w:r>
            <w:r w:rsidR="00157229" w:rsidRPr="00F82073">
              <w:rPr>
                <w:rFonts w:ascii="ＭＳ 明朝" w:hint="eastAsia"/>
                <w:sz w:val="22"/>
              </w:rPr>
              <w:t>第</w:t>
            </w:r>
            <w:r w:rsidRPr="00F82073">
              <w:rPr>
                <w:rFonts w:ascii="ＭＳ 明朝" w:hint="eastAsia"/>
                <w:sz w:val="22"/>
              </w:rPr>
              <w:t>107条の登録を受けた者</w:t>
            </w:r>
            <w:r w:rsidR="00F82073" w:rsidRP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（ダイオキシン類にあっては、計量法施行規則第49条の２第２号に掲げる区分に係る事業について、同法第121条の２の規定による特定計量証明事業の認定を受けた者）</w:t>
            </w:r>
            <w:r w:rsidRPr="00F82073">
              <w:rPr>
                <w:rFonts w:ascii="ＭＳ 明朝" w:hint="eastAsia"/>
                <w:sz w:val="22"/>
              </w:rPr>
              <w:t>の氏名又は名称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F82073" w:rsidRDefault="00914146" w:rsidP="00F82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管理区域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に搬入された土壌</w:t>
            </w:r>
            <w:r w:rsidR="00ED3932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が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特定有害物質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土壌溶出量基準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、特定有害物質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土壌含有量基準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及びダイオキシン類</w:t>
            </w:r>
            <w:r w:rsidR="009513B5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含有量基準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に適合する</w:t>
            </w:r>
            <w:r w:rsidR="00ED3932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場合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  <w:sz w:val="22"/>
              </w:rPr>
            </w:pPr>
            <w:r w:rsidRPr="00F82073">
              <w:rPr>
                <w:rFonts w:ascii="ＭＳ 明朝" w:hint="eastAsia"/>
                <w:sz w:val="22"/>
              </w:rPr>
              <w:t>当該土壌の管理方法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F82073">
        <w:trPr>
          <w:trHeight w:val="20"/>
        </w:trPr>
        <w:tc>
          <w:tcPr>
            <w:tcW w:w="97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bookmarkEnd w:id="0"/>
      <w:bookmarkEnd w:id="1"/>
      <w:bookmarkEnd w:id="2"/>
    </w:tbl>
    <w:p w:rsidR="00672733" w:rsidRPr="004911E5" w:rsidRDefault="00672733" w:rsidP="00C52876">
      <w:pPr>
        <w:ind w:left="440" w:rightChars="107" w:right="225" w:hangingChars="200" w:hanging="440"/>
        <w:rPr>
          <w:sz w:val="22"/>
        </w:rPr>
      </w:pPr>
    </w:p>
    <w:sectPr w:rsidR="00672733" w:rsidRPr="004911E5" w:rsidSect="00F829CA">
      <w:pgSz w:w="11906" w:h="16838" w:code="9"/>
      <w:pgMar w:top="964" w:right="1077" w:bottom="85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92" w:rsidRDefault="00226492" w:rsidP="00E51FC9">
      <w:r>
        <w:separator/>
      </w:r>
    </w:p>
  </w:endnote>
  <w:endnote w:type="continuationSeparator" w:id="0">
    <w:p w:rsidR="00226492" w:rsidRDefault="00226492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92" w:rsidRDefault="00226492" w:rsidP="00E51FC9">
      <w:r>
        <w:separator/>
      </w:r>
    </w:p>
  </w:footnote>
  <w:footnote w:type="continuationSeparator" w:id="0">
    <w:p w:rsidR="00226492" w:rsidRDefault="00226492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145C3"/>
    <w:rsid w:val="001415D9"/>
    <w:rsid w:val="00146712"/>
    <w:rsid w:val="00157229"/>
    <w:rsid w:val="00167530"/>
    <w:rsid w:val="00181C1E"/>
    <w:rsid w:val="00191585"/>
    <w:rsid w:val="001D1F20"/>
    <w:rsid w:val="002107F3"/>
    <w:rsid w:val="0021666D"/>
    <w:rsid w:val="00226492"/>
    <w:rsid w:val="00286C1E"/>
    <w:rsid w:val="003450E2"/>
    <w:rsid w:val="003B0BB5"/>
    <w:rsid w:val="003B1C68"/>
    <w:rsid w:val="003B4B22"/>
    <w:rsid w:val="00421271"/>
    <w:rsid w:val="00440F13"/>
    <w:rsid w:val="00482A4F"/>
    <w:rsid w:val="004911E5"/>
    <w:rsid w:val="004B4856"/>
    <w:rsid w:val="004B4B43"/>
    <w:rsid w:val="004B502E"/>
    <w:rsid w:val="004D1C1B"/>
    <w:rsid w:val="004D60E0"/>
    <w:rsid w:val="004F66B5"/>
    <w:rsid w:val="00535799"/>
    <w:rsid w:val="005E3C51"/>
    <w:rsid w:val="006460C2"/>
    <w:rsid w:val="006523DC"/>
    <w:rsid w:val="006651D1"/>
    <w:rsid w:val="00672733"/>
    <w:rsid w:val="00722408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467AE"/>
    <w:rsid w:val="009501F6"/>
    <w:rsid w:val="009513B5"/>
    <w:rsid w:val="00987230"/>
    <w:rsid w:val="009D4F2C"/>
    <w:rsid w:val="00A13B16"/>
    <w:rsid w:val="00A4370C"/>
    <w:rsid w:val="00A57D8E"/>
    <w:rsid w:val="00AF72B1"/>
    <w:rsid w:val="00B62704"/>
    <w:rsid w:val="00B9335E"/>
    <w:rsid w:val="00B94CE2"/>
    <w:rsid w:val="00BC59D6"/>
    <w:rsid w:val="00C346D7"/>
    <w:rsid w:val="00C34C60"/>
    <w:rsid w:val="00C52876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0AD"/>
    <w:rsid w:val="00F50F55"/>
    <w:rsid w:val="00F82073"/>
    <w:rsid w:val="00F829CA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