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00" w:rsidRDefault="00397F00" w:rsidP="00397F00">
      <w:pPr>
        <w:jc w:val="left"/>
      </w:pPr>
      <w:r>
        <w:rPr>
          <w:rFonts w:hint="eastAsia"/>
          <w:noProof/>
        </w:rPr>
        <mc:AlternateContent>
          <mc:Choice Requires="wps">
            <w:drawing>
              <wp:anchor distT="0" distB="0" distL="114300" distR="114300" simplePos="0" relativeHeight="251659264" behindDoc="0" locked="0" layoutInCell="1" allowOverlap="1" wp14:anchorId="17DA23C7" wp14:editId="269B404B">
                <wp:simplePos x="0" y="0"/>
                <wp:positionH relativeFrom="column">
                  <wp:posOffset>5715</wp:posOffset>
                </wp:positionH>
                <wp:positionV relativeFrom="paragraph">
                  <wp:posOffset>6350</wp:posOffset>
                </wp:positionV>
                <wp:extent cx="11715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71575" cy="34290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97F00" w:rsidRPr="00397F00" w:rsidRDefault="00397F00" w:rsidP="00397F00">
                            <w:pPr>
                              <w:jc w:val="center"/>
                              <w:rPr>
                                <w:rFonts w:asciiTheme="majorEastAsia" w:eastAsiaTheme="majorEastAsia" w:hAnsiTheme="majorEastAsia"/>
                                <w:b/>
                                <w:color w:val="FF0000"/>
                                <w:sz w:val="24"/>
                              </w:rPr>
                            </w:pPr>
                            <w:r w:rsidRPr="00397F00">
                              <w:rPr>
                                <w:rFonts w:asciiTheme="majorEastAsia" w:eastAsiaTheme="majorEastAsia" w:hAnsiTheme="majorEastAsia" w:hint="eastAsia"/>
                                <w:b/>
                                <w:color w:val="FF0000"/>
                                <w:sz w:val="24"/>
                              </w:rPr>
                              <w:t>運営規程（例）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5pt;margin-top:.5pt;width:92.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" fillcolor="white [3201]" strokecolor="red" strokeweight="1.5pt">
                <v:textbox>
                  <w:txbxContent>
                    <w:p w:rsidR="00397F00" w:rsidRPr="00397F00" w:rsidRDefault="00397F00" w:rsidP="00397F00">
                      <w:pPr>
                        <w:jc w:val="center"/>
                        <w:rPr>
                          <w:rFonts w:asciiTheme="majorEastAsia" w:eastAsiaTheme="majorEastAsia" w:hAnsiTheme="majorEastAsia"/>
                          <w:b/>
                          <w:color w:val="FF0000"/>
                          <w:sz w:val="24"/>
                        </w:rPr>
                      </w:pPr>
                      <w:r w:rsidRPr="00397F00">
                        <w:rPr>
                          <w:rFonts w:asciiTheme="majorEastAsia" w:eastAsiaTheme="majorEastAsia" w:hAnsiTheme="majorEastAsia" w:hint="eastAsia"/>
                          <w:b/>
                          <w:color w:val="FF0000"/>
                          <w:sz w:val="24"/>
                        </w:rPr>
                        <w:t>運営規程（例）</w:t>
                      </w:r>
                    </w:p>
                  </w:txbxContent>
                </v:textbox>
              </v:shape>
            </w:pict>
          </mc:Fallback>
        </mc:AlternateContent>
      </w:r>
    </w:p>
    <w:p w:rsidR="00397F00" w:rsidRDefault="00397F00" w:rsidP="00397F00">
      <w:pPr>
        <w:jc w:val="center"/>
      </w:pPr>
    </w:p>
    <w:p w:rsidR="00D840B0" w:rsidRPr="00892047" w:rsidRDefault="00892047" w:rsidP="00397F00">
      <w:pPr>
        <w:jc w:val="center"/>
        <w:rPr>
          <w:rFonts w:asciiTheme="minorEastAsia" w:hAnsiTheme="minorEastAsia"/>
        </w:rPr>
      </w:pPr>
      <w:r w:rsidRPr="00892047">
        <w:rPr>
          <w:rFonts w:asciiTheme="minorEastAsia" w:hAnsiTheme="minorEastAsia" w:hint="eastAsia"/>
          <w:sz w:val="24"/>
        </w:rPr>
        <w:t>地域生活支援拠点等の機能を担う事業所となる場合の追加項目の記載例</w:t>
      </w:r>
    </w:p>
    <w:p w:rsidR="00397F00" w:rsidRPr="00892047" w:rsidRDefault="00397F00">
      <w:pPr>
        <w:rPr>
          <w:rFonts w:asciiTheme="minorEastAsia" w:hAnsiTheme="minorEastAsia"/>
        </w:rPr>
      </w:pPr>
    </w:p>
    <w:p w:rsidR="00BC6242" w:rsidRPr="00892047" w:rsidRDefault="00397F00" w:rsidP="000E015C">
      <w:pPr>
        <w:spacing w:afterLines="50" w:after="180"/>
        <w:rPr>
          <w:rFonts w:asciiTheme="minorEastAsia" w:hAnsiTheme="minorEastAsia"/>
          <w:sz w:val="22"/>
        </w:rPr>
      </w:pPr>
      <w:r w:rsidRPr="00892047">
        <w:rPr>
          <w:rFonts w:asciiTheme="minorEastAsia" w:hAnsiTheme="minorEastAsia" w:hint="eastAsia"/>
        </w:rPr>
        <w:t xml:space="preserve">　</w:t>
      </w:r>
      <w:r w:rsidRPr="00892047">
        <w:rPr>
          <w:rFonts w:asciiTheme="minorEastAsia" w:hAnsiTheme="minorEastAsia" w:hint="eastAsia"/>
          <w:sz w:val="22"/>
        </w:rPr>
        <w:t>地域生活支援拠点等の機能を担う事業所として届出を行う際は、以下の</w:t>
      </w:r>
      <w:r w:rsidR="00892047" w:rsidRPr="00892047">
        <w:rPr>
          <w:rFonts w:asciiTheme="minorEastAsia" w:hAnsiTheme="minorEastAsia" w:hint="eastAsia"/>
          <w:sz w:val="22"/>
        </w:rPr>
        <w:t>内容を参考に</w:t>
      </w:r>
      <w:r w:rsidR="006E7C36">
        <w:rPr>
          <w:rFonts w:asciiTheme="minorEastAsia" w:hAnsiTheme="minorEastAsia" w:hint="eastAsia"/>
          <w:sz w:val="22"/>
        </w:rPr>
        <w:t>運営規程への</w:t>
      </w:r>
      <w:r w:rsidR="00892047" w:rsidRPr="00892047">
        <w:rPr>
          <w:rFonts w:asciiTheme="minorEastAsia" w:hAnsiTheme="minorEastAsia" w:hint="eastAsia"/>
          <w:sz w:val="22"/>
        </w:rPr>
        <w:t>追加項目を作成</w:t>
      </w:r>
      <w:r w:rsidRPr="00892047">
        <w:rPr>
          <w:rFonts w:asciiTheme="minorEastAsia" w:hAnsiTheme="minorEastAsia" w:hint="eastAsia"/>
          <w:sz w:val="22"/>
        </w:rPr>
        <w:t>してください。</w:t>
      </w:r>
    </w:p>
    <w:tbl>
      <w:tblPr>
        <w:tblStyle w:val="a3"/>
        <w:tblW w:w="0" w:type="auto"/>
        <w:tblLook w:val="04A0" w:firstRow="1" w:lastRow="0" w:firstColumn="1" w:lastColumn="0" w:noHBand="0" w:noVBand="1"/>
      </w:tblPr>
      <w:tblGrid>
        <w:gridCol w:w="6345"/>
        <w:gridCol w:w="3119"/>
      </w:tblGrid>
      <w:tr w:rsidR="00397F00" w:rsidRPr="00892047" w:rsidTr="00892047">
        <w:tc>
          <w:tcPr>
            <w:tcW w:w="6345" w:type="dxa"/>
          </w:tcPr>
          <w:p w:rsidR="00397F00" w:rsidRPr="00892047" w:rsidRDefault="00BC6242" w:rsidP="00BC6242">
            <w:pPr>
              <w:jc w:val="center"/>
              <w:rPr>
                <w:rFonts w:asciiTheme="minorEastAsia" w:hAnsiTheme="minorEastAsia"/>
                <w:sz w:val="22"/>
              </w:rPr>
            </w:pPr>
            <w:r w:rsidRPr="00892047">
              <w:rPr>
                <w:rFonts w:asciiTheme="minorEastAsia" w:hAnsiTheme="minorEastAsia" w:hint="eastAsia"/>
                <w:sz w:val="22"/>
              </w:rPr>
              <w:t>運営規程の記載例</w:t>
            </w:r>
          </w:p>
        </w:tc>
        <w:tc>
          <w:tcPr>
            <w:tcW w:w="3119" w:type="dxa"/>
          </w:tcPr>
          <w:p w:rsidR="00397F00" w:rsidRPr="00892047" w:rsidRDefault="00892047" w:rsidP="00BC6242">
            <w:pPr>
              <w:jc w:val="center"/>
              <w:rPr>
                <w:rFonts w:asciiTheme="minorEastAsia" w:hAnsiTheme="minorEastAsia"/>
                <w:sz w:val="22"/>
              </w:rPr>
            </w:pPr>
            <w:r>
              <w:rPr>
                <w:rFonts w:asciiTheme="minorEastAsia" w:hAnsiTheme="minorEastAsia" w:hint="eastAsia"/>
                <w:sz w:val="22"/>
              </w:rPr>
              <w:t>作成にあたっての留意事項</w:t>
            </w:r>
          </w:p>
        </w:tc>
      </w:tr>
      <w:tr w:rsidR="00397F00" w:rsidRPr="00892047" w:rsidTr="00D856D3">
        <w:trPr>
          <w:trHeight w:val="10009"/>
        </w:trPr>
        <w:tc>
          <w:tcPr>
            <w:tcW w:w="6345" w:type="dxa"/>
          </w:tcPr>
          <w:p w:rsidR="00397F00" w:rsidRPr="00892047" w:rsidRDefault="00397F00">
            <w:pPr>
              <w:rPr>
                <w:rFonts w:asciiTheme="minorEastAsia" w:hAnsiTheme="minorEastAsia"/>
                <w:sz w:val="22"/>
              </w:rPr>
            </w:pPr>
          </w:p>
          <w:p w:rsidR="00BC6242" w:rsidRPr="00892047" w:rsidRDefault="00BC6242">
            <w:pPr>
              <w:rPr>
                <w:rFonts w:asciiTheme="minorEastAsia" w:hAnsiTheme="minorEastAsia"/>
                <w:sz w:val="22"/>
              </w:rPr>
            </w:pPr>
            <w:r w:rsidRPr="00892047">
              <w:rPr>
                <w:rFonts w:asciiTheme="minorEastAsia" w:hAnsiTheme="minorEastAsia" w:hint="eastAsia"/>
                <w:sz w:val="22"/>
              </w:rPr>
              <w:t>（地域生活支援拠点等の機能を担う事業所）</w:t>
            </w:r>
          </w:p>
          <w:p w:rsidR="00BC6242" w:rsidRPr="00892047" w:rsidRDefault="00BC6242" w:rsidP="00880A8A">
            <w:pPr>
              <w:ind w:left="220" w:hangingChars="100" w:hanging="220"/>
              <w:rPr>
                <w:rFonts w:asciiTheme="minorEastAsia" w:hAnsiTheme="minorEastAsia"/>
                <w:sz w:val="22"/>
              </w:rPr>
            </w:pPr>
            <w:r w:rsidRPr="00892047">
              <w:rPr>
                <w:rFonts w:asciiTheme="minorEastAsia" w:hAnsiTheme="minorEastAsia" w:hint="eastAsia"/>
                <w:sz w:val="22"/>
              </w:rPr>
              <w:t>第○○条　事業所は、「障害福祉サービス等及び障害児通所支援等の円滑な実施を確保するための基本的な指針（平成１８年厚生労働省告示第３９５号）第一の二の３」に規定する</w:t>
            </w:r>
            <w:r w:rsidR="00DE702E" w:rsidRPr="00892047">
              <w:rPr>
                <w:rFonts w:asciiTheme="minorEastAsia" w:hAnsiTheme="minorEastAsia" w:hint="eastAsia"/>
                <w:sz w:val="22"/>
              </w:rPr>
              <w:t>地域生活支援拠点等として次の機能を担う。</w:t>
            </w:r>
          </w:p>
          <w:p w:rsidR="00DE702E" w:rsidRPr="00892047" w:rsidRDefault="00DE702E">
            <w:pPr>
              <w:rPr>
                <w:rFonts w:asciiTheme="minorEastAsia" w:hAnsiTheme="minorEastAsia"/>
                <w:sz w:val="22"/>
              </w:rPr>
            </w:pPr>
          </w:p>
          <w:p w:rsidR="00DE702E" w:rsidRPr="00892047" w:rsidRDefault="00DE702E" w:rsidP="00DE702E">
            <w:pPr>
              <w:pStyle w:val="a4"/>
              <w:numPr>
                <w:ilvl w:val="0"/>
                <w:numId w:val="1"/>
              </w:numPr>
              <w:ind w:leftChars="0"/>
              <w:rPr>
                <w:rFonts w:asciiTheme="minorEastAsia" w:hAnsiTheme="minorEastAsia"/>
                <w:sz w:val="22"/>
              </w:rPr>
            </w:pPr>
            <w:r w:rsidRPr="00892047">
              <w:rPr>
                <w:rFonts w:asciiTheme="minorEastAsia" w:hAnsiTheme="minorEastAsia" w:hint="eastAsia"/>
                <w:sz w:val="22"/>
              </w:rPr>
              <w:t>相談</w:t>
            </w:r>
          </w:p>
          <w:p w:rsidR="00DE702E" w:rsidRPr="00892047" w:rsidRDefault="00DE702E" w:rsidP="00DE702E">
            <w:pPr>
              <w:ind w:left="220" w:hangingChars="100" w:hanging="220"/>
              <w:rPr>
                <w:rFonts w:asciiTheme="minorEastAsia" w:hAnsiTheme="minorEastAsia"/>
                <w:sz w:val="22"/>
              </w:rPr>
            </w:pPr>
            <w:r w:rsidRPr="00892047">
              <w:rPr>
                <w:rFonts w:asciiTheme="minorEastAsia" w:hAnsiTheme="minorEastAsia" w:hint="eastAsia"/>
                <w:sz w:val="22"/>
              </w:rPr>
              <w:t xml:space="preserve">　　緊急時の支援が見込めない世帯を事前に把握・登録した上で、障害の特性に起因して生じた緊急の事態等に必要な相談支援を行う機能。</w:t>
            </w:r>
          </w:p>
          <w:p w:rsidR="00DE702E" w:rsidRPr="00892047" w:rsidRDefault="00DE702E" w:rsidP="00DE702E">
            <w:pPr>
              <w:rPr>
                <w:rFonts w:asciiTheme="minorEastAsia" w:hAnsiTheme="minorEastAsia"/>
                <w:sz w:val="22"/>
              </w:rPr>
            </w:pPr>
          </w:p>
          <w:p w:rsidR="00DE702E" w:rsidRPr="00BB3FD3" w:rsidRDefault="00BB3FD3" w:rsidP="00BB3FD3">
            <w:pPr>
              <w:pStyle w:val="a4"/>
              <w:numPr>
                <w:ilvl w:val="0"/>
                <w:numId w:val="1"/>
              </w:numPr>
              <w:ind w:leftChars="0"/>
              <w:rPr>
                <w:rFonts w:asciiTheme="minorEastAsia" w:hAnsiTheme="minorEastAsia"/>
                <w:sz w:val="22"/>
              </w:rPr>
            </w:pPr>
            <w:r w:rsidRPr="00BB3FD3">
              <w:rPr>
                <w:rFonts w:asciiTheme="minorEastAsia" w:hAnsiTheme="minorEastAsia" w:hint="eastAsia"/>
                <w:sz w:val="22"/>
              </w:rPr>
              <w:t>緊急時の受入れ・対応</w:t>
            </w:r>
          </w:p>
          <w:p w:rsidR="00BB3FD3" w:rsidRDefault="00BB3FD3" w:rsidP="00BB3FD3">
            <w:pPr>
              <w:ind w:left="220" w:hangingChars="100" w:hanging="220"/>
              <w:rPr>
                <w:rFonts w:asciiTheme="minorEastAsia" w:hAnsiTheme="minorEastAsia"/>
                <w:sz w:val="22"/>
              </w:rPr>
            </w:pPr>
            <w:r>
              <w:rPr>
                <w:rFonts w:asciiTheme="minorEastAsia" w:hAnsiTheme="minorEastAsia" w:hint="eastAsia"/>
                <w:sz w:val="22"/>
              </w:rPr>
              <w:t xml:space="preserve">　　短期入所を活用した</w:t>
            </w:r>
            <w:bookmarkStart w:id="0" w:name="_GoBack"/>
            <w:bookmarkEnd w:id="0"/>
            <w:r>
              <w:rPr>
                <w:rFonts w:asciiTheme="minorEastAsia" w:hAnsiTheme="minorEastAsia" w:hint="eastAsia"/>
                <w:sz w:val="22"/>
              </w:rPr>
              <w:t>緊急受入体制等を確保した上で、介護者の急病や障がい者の状態変化等の緊急時の受入れや医療機関への連絡等の必要な対応を行う機能。</w:t>
            </w:r>
          </w:p>
          <w:p w:rsidR="00C75FD9" w:rsidRDefault="00C75FD9" w:rsidP="00BB3FD3">
            <w:pPr>
              <w:ind w:left="220" w:hangingChars="100" w:hanging="220"/>
              <w:rPr>
                <w:rFonts w:asciiTheme="minorEastAsia" w:hAnsiTheme="minorEastAsia"/>
                <w:sz w:val="22"/>
              </w:rPr>
            </w:pPr>
          </w:p>
          <w:p w:rsidR="00C75FD9" w:rsidRPr="00C75FD9" w:rsidRDefault="00C75FD9" w:rsidP="00C75FD9">
            <w:pPr>
              <w:pStyle w:val="a4"/>
              <w:numPr>
                <w:ilvl w:val="0"/>
                <w:numId w:val="1"/>
              </w:numPr>
              <w:ind w:leftChars="0"/>
              <w:rPr>
                <w:rFonts w:asciiTheme="minorEastAsia" w:hAnsiTheme="minorEastAsia"/>
                <w:sz w:val="22"/>
              </w:rPr>
            </w:pPr>
            <w:r w:rsidRPr="00C75FD9">
              <w:rPr>
                <w:rFonts w:asciiTheme="minorEastAsia" w:hAnsiTheme="minorEastAsia" w:hint="eastAsia"/>
                <w:sz w:val="22"/>
              </w:rPr>
              <w:t>体験の機会・場</w:t>
            </w:r>
          </w:p>
          <w:p w:rsidR="00C75FD9" w:rsidRDefault="00C75FD9" w:rsidP="00C75FD9">
            <w:pPr>
              <w:ind w:left="220" w:hangingChars="100" w:hanging="220"/>
              <w:rPr>
                <w:rFonts w:asciiTheme="minorEastAsia" w:hAnsiTheme="minorEastAsia"/>
                <w:sz w:val="22"/>
              </w:rPr>
            </w:pPr>
            <w:r>
              <w:rPr>
                <w:rFonts w:asciiTheme="minorEastAsia" w:hAnsiTheme="minorEastAsia" w:hint="eastAsia"/>
                <w:sz w:val="22"/>
              </w:rPr>
              <w:t xml:space="preserve">　　地域移行支援や親元からの自立等にあたって、共同生活援助等の障がい福祉サービスの利用や一人暮らしの体験の機会・場を提供する機能</w:t>
            </w:r>
          </w:p>
          <w:p w:rsidR="00C75FD9" w:rsidRDefault="00C75FD9" w:rsidP="00C75FD9">
            <w:pPr>
              <w:ind w:left="220" w:hangingChars="100" w:hanging="220"/>
              <w:rPr>
                <w:rFonts w:asciiTheme="minorEastAsia" w:hAnsiTheme="minorEastAsia"/>
                <w:sz w:val="22"/>
              </w:rPr>
            </w:pPr>
          </w:p>
          <w:p w:rsidR="00C75FD9" w:rsidRPr="00C75FD9" w:rsidRDefault="00C75FD9" w:rsidP="00C75FD9">
            <w:pPr>
              <w:pStyle w:val="a4"/>
              <w:numPr>
                <w:ilvl w:val="0"/>
                <w:numId w:val="1"/>
              </w:numPr>
              <w:ind w:leftChars="0"/>
              <w:rPr>
                <w:rFonts w:asciiTheme="minorEastAsia" w:hAnsiTheme="minorEastAsia"/>
                <w:sz w:val="22"/>
              </w:rPr>
            </w:pPr>
            <w:r w:rsidRPr="00C75FD9">
              <w:rPr>
                <w:rFonts w:asciiTheme="minorEastAsia" w:hAnsiTheme="minorEastAsia" w:hint="eastAsia"/>
                <w:sz w:val="22"/>
              </w:rPr>
              <w:t>専門的人材の確保・養成</w:t>
            </w:r>
          </w:p>
          <w:p w:rsidR="00C75FD9" w:rsidRPr="00C75FD9" w:rsidRDefault="00C75FD9" w:rsidP="00C75FD9">
            <w:pPr>
              <w:ind w:left="220" w:hangingChars="100" w:hanging="220"/>
              <w:rPr>
                <w:rFonts w:asciiTheme="minorEastAsia" w:hAnsiTheme="minorEastAsia"/>
                <w:sz w:val="22"/>
              </w:rPr>
            </w:pPr>
            <w:r>
              <w:rPr>
                <w:rFonts w:asciiTheme="minorEastAsia" w:hAnsiTheme="minorEastAsia" w:hint="eastAsia"/>
                <w:sz w:val="22"/>
              </w:rPr>
              <w:t xml:space="preserve">　　医療的ケアが必要な者や行動障がいを有する者、高齢化に伴い重度化した障がい者等に対して、専門的な対応を行うことができる体制の確保や、専門的な対応ができる人材の養成を行う機能</w:t>
            </w:r>
          </w:p>
          <w:p w:rsidR="00DE702E" w:rsidRPr="00892047" w:rsidRDefault="00DE702E" w:rsidP="00DE702E">
            <w:pPr>
              <w:rPr>
                <w:rFonts w:asciiTheme="minorEastAsia" w:hAnsiTheme="minorEastAsia"/>
                <w:sz w:val="22"/>
              </w:rPr>
            </w:pPr>
          </w:p>
          <w:p w:rsidR="00DE702E" w:rsidRPr="00BB3FD3" w:rsidRDefault="00BB3FD3" w:rsidP="00BB3FD3">
            <w:pPr>
              <w:pStyle w:val="a4"/>
              <w:numPr>
                <w:ilvl w:val="0"/>
                <w:numId w:val="1"/>
              </w:numPr>
              <w:ind w:leftChars="0"/>
              <w:rPr>
                <w:rFonts w:asciiTheme="minorEastAsia" w:hAnsiTheme="minorEastAsia"/>
                <w:sz w:val="22"/>
              </w:rPr>
            </w:pPr>
            <w:r w:rsidRPr="00BB3FD3">
              <w:rPr>
                <w:rFonts w:asciiTheme="minorEastAsia" w:hAnsiTheme="minorEastAsia" w:hint="eastAsia"/>
                <w:sz w:val="22"/>
              </w:rPr>
              <w:t>地域の体制づくり</w:t>
            </w:r>
          </w:p>
          <w:p w:rsidR="00DE702E" w:rsidRDefault="008E7958" w:rsidP="00D856D3">
            <w:pPr>
              <w:ind w:left="220" w:hangingChars="100" w:hanging="220"/>
              <w:rPr>
                <w:rFonts w:asciiTheme="minorEastAsia" w:hAnsiTheme="minorEastAsia"/>
                <w:sz w:val="22"/>
              </w:rPr>
            </w:pPr>
            <w:r>
              <w:rPr>
                <w:rFonts w:asciiTheme="minorEastAsia" w:hAnsiTheme="minorEastAsia" w:hint="eastAsia"/>
                <w:sz w:val="22"/>
              </w:rPr>
              <w:t xml:space="preserve">　　地域の様々なニーズに対応できるサービス提供体制の確保や、地域の社会資源の連携体制の構築等を行う機能</w:t>
            </w:r>
          </w:p>
          <w:p w:rsidR="00BC6242" w:rsidRPr="00892047" w:rsidRDefault="00BC6242">
            <w:pPr>
              <w:rPr>
                <w:rFonts w:asciiTheme="minorEastAsia" w:hAnsiTheme="minorEastAsia"/>
                <w:sz w:val="22"/>
              </w:rPr>
            </w:pPr>
          </w:p>
        </w:tc>
        <w:tc>
          <w:tcPr>
            <w:tcW w:w="3119" w:type="dxa"/>
          </w:tcPr>
          <w:p w:rsidR="00892047" w:rsidRDefault="00892047" w:rsidP="00892047">
            <w:pPr>
              <w:rPr>
                <w:rFonts w:asciiTheme="minorEastAsia" w:hAnsiTheme="minorEastAsia"/>
                <w:sz w:val="22"/>
              </w:rPr>
            </w:pPr>
          </w:p>
          <w:p w:rsidR="006E7C36" w:rsidRDefault="006E7C36" w:rsidP="00892047">
            <w:pPr>
              <w:rPr>
                <w:rFonts w:asciiTheme="minorEastAsia" w:hAnsiTheme="minorEastAsia"/>
                <w:sz w:val="22"/>
              </w:rPr>
            </w:pPr>
          </w:p>
          <w:p w:rsidR="006E7C36" w:rsidRDefault="006E7C36" w:rsidP="00892047">
            <w:pPr>
              <w:rPr>
                <w:rFonts w:asciiTheme="minorEastAsia" w:hAnsiTheme="minorEastAsia"/>
                <w:sz w:val="22"/>
              </w:rPr>
            </w:pPr>
          </w:p>
          <w:p w:rsidR="00892047" w:rsidRPr="00892047" w:rsidRDefault="00892047" w:rsidP="00892047">
            <w:pPr>
              <w:rPr>
                <w:rFonts w:asciiTheme="minorEastAsia" w:hAnsiTheme="minorEastAsia"/>
                <w:sz w:val="22"/>
              </w:rPr>
            </w:pPr>
            <w:r>
              <w:rPr>
                <w:rFonts w:asciiTheme="minorEastAsia" w:hAnsiTheme="minorEastAsia" w:hint="eastAsia"/>
                <w:sz w:val="22"/>
              </w:rPr>
              <w:t>左記は記載例であり、</w:t>
            </w:r>
            <w:r w:rsidR="006E7C36">
              <w:rPr>
                <w:rFonts w:asciiTheme="minorEastAsia" w:hAnsiTheme="minorEastAsia" w:hint="eastAsia"/>
                <w:sz w:val="22"/>
              </w:rPr>
              <w:t>各事業所の実態に応じた規程とし、地域生活支援拠点事業の内容をご理解いただいた上で作成をお願いします。</w:t>
            </w:r>
          </w:p>
          <w:p w:rsidR="00397F00" w:rsidRPr="00892047" w:rsidRDefault="00397F00">
            <w:pPr>
              <w:rPr>
                <w:rFonts w:asciiTheme="minorEastAsia" w:hAnsiTheme="minorEastAsia"/>
                <w:sz w:val="22"/>
              </w:rPr>
            </w:pPr>
          </w:p>
        </w:tc>
      </w:tr>
    </w:tbl>
    <w:p w:rsidR="00397F00" w:rsidRPr="00892047" w:rsidRDefault="00397F00" w:rsidP="00D856D3">
      <w:pPr>
        <w:rPr>
          <w:rFonts w:asciiTheme="minorEastAsia" w:hAnsiTheme="minorEastAsia"/>
          <w:sz w:val="22"/>
        </w:rPr>
      </w:pPr>
    </w:p>
    <w:sectPr w:rsidR="00397F00" w:rsidRPr="00892047" w:rsidSect="000E015C">
      <w:pgSz w:w="11906" w:h="16838"/>
      <w:pgMar w:top="1304" w:right="1304" w:bottom="90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F5" w:rsidRDefault="00600BF5" w:rsidP="00600BF5">
      <w:r>
        <w:separator/>
      </w:r>
    </w:p>
  </w:endnote>
  <w:endnote w:type="continuationSeparator" w:id="0">
    <w:p w:rsidR="00600BF5" w:rsidRDefault="00600BF5" w:rsidP="0060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F5" w:rsidRDefault="00600BF5" w:rsidP="00600BF5">
      <w:r>
        <w:separator/>
      </w:r>
    </w:p>
  </w:footnote>
  <w:footnote w:type="continuationSeparator" w:id="0">
    <w:p w:rsidR="00600BF5" w:rsidRDefault="00600BF5" w:rsidP="00600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401C6"/>
    <w:multiLevelType w:val="hybridMultilevel"/>
    <w:tmpl w:val="5134D028"/>
    <w:lvl w:ilvl="0" w:tplc="7DF0D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00"/>
    <w:rsid w:val="000E015C"/>
    <w:rsid w:val="00362B62"/>
    <w:rsid w:val="00397F00"/>
    <w:rsid w:val="0041789C"/>
    <w:rsid w:val="00600BF5"/>
    <w:rsid w:val="006E7C36"/>
    <w:rsid w:val="00880A8A"/>
    <w:rsid w:val="00892047"/>
    <w:rsid w:val="008E7958"/>
    <w:rsid w:val="00BB3FD3"/>
    <w:rsid w:val="00BC6242"/>
    <w:rsid w:val="00C75FD9"/>
    <w:rsid w:val="00CE1382"/>
    <w:rsid w:val="00D856D3"/>
    <w:rsid w:val="00DE702E"/>
    <w:rsid w:val="00F1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702E"/>
    <w:pPr>
      <w:ind w:leftChars="400" w:left="840"/>
    </w:pPr>
  </w:style>
  <w:style w:type="paragraph" w:styleId="a5">
    <w:name w:val="header"/>
    <w:basedOn w:val="a"/>
    <w:link w:val="a6"/>
    <w:uiPriority w:val="99"/>
    <w:unhideWhenUsed/>
    <w:rsid w:val="00600BF5"/>
    <w:pPr>
      <w:tabs>
        <w:tab w:val="center" w:pos="4252"/>
        <w:tab w:val="right" w:pos="8504"/>
      </w:tabs>
      <w:snapToGrid w:val="0"/>
    </w:pPr>
  </w:style>
  <w:style w:type="character" w:customStyle="1" w:styleId="a6">
    <w:name w:val="ヘッダー (文字)"/>
    <w:basedOn w:val="a0"/>
    <w:link w:val="a5"/>
    <w:uiPriority w:val="99"/>
    <w:rsid w:val="00600BF5"/>
  </w:style>
  <w:style w:type="paragraph" w:styleId="a7">
    <w:name w:val="footer"/>
    <w:basedOn w:val="a"/>
    <w:link w:val="a8"/>
    <w:uiPriority w:val="99"/>
    <w:unhideWhenUsed/>
    <w:rsid w:val="00600BF5"/>
    <w:pPr>
      <w:tabs>
        <w:tab w:val="center" w:pos="4252"/>
        <w:tab w:val="right" w:pos="8504"/>
      </w:tabs>
      <w:snapToGrid w:val="0"/>
    </w:pPr>
  </w:style>
  <w:style w:type="character" w:customStyle="1" w:styleId="a8">
    <w:name w:val="フッター (文字)"/>
    <w:basedOn w:val="a0"/>
    <w:link w:val="a7"/>
    <w:uiPriority w:val="99"/>
    <w:rsid w:val="00600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702E"/>
    <w:pPr>
      <w:ind w:leftChars="400" w:left="840"/>
    </w:pPr>
  </w:style>
  <w:style w:type="paragraph" w:styleId="a5">
    <w:name w:val="header"/>
    <w:basedOn w:val="a"/>
    <w:link w:val="a6"/>
    <w:uiPriority w:val="99"/>
    <w:unhideWhenUsed/>
    <w:rsid w:val="00600BF5"/>
    <w:pPr>
      <w:tabs>
        <w:tab w:val="center" w:pos="4252"/>
        <w:tab w:val="right" w:pos="8504"/>
      </w:tabs>
      <w:snapToGrid w:val="0"/>
    </w:pPr>
  </w:style>
  <w:style w:type="character" w:customStyle="1" w:styleId="a6">
    <w:name w:val="ヘッダー (文字)"/>
    <w:basedOn w:val="a0"/>
    <w:link w:val="a5"/>
    <w:uiPriority w:val="99"/>
    <w:rsid w:val="00600BF5"/>
  </w:style>
  <w:style w:type="paragraph" w:styleId="a7">
    <w:name w:val="footer"/>
    <w:basedOn w:val="a"/>
    <w:link w:val="a8"/>
    <w:uiPriority w:val="99"/>
    <w:unhideWhenUsed/>
    <w:rsid w:val="00600BF5"/>
    <w:pPr>
      <w:tabs>
        <w:tab w:val="center" w:pos="4252"/>
        <w:tab w:val="right" w:pos="8504"/>
      </w:tabs>
      <w:snapToGrid w:val="0"/>
    </w:pPr>
  </w:style>
  <w:style w:type="character" w:customStyle="1" w:styleId="a8">
    <w:name w:val="フッター (文字)"/>
    <w:basedOn w:val="a0"/>
    <w:link w:val="a7"/>
    <w:uiPriority w:val="99"/>
    <w:rsid w:val="0060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2131-9E7F-4530-8C7F-F377BFBD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2021-06-28T05:48:00Z</dcterms:created>
  <dcterms:modified xsi:type="dcterms:W3CDTF">2021-10-07T06:56:00Z</dcterms:modified>
</cp:coreProperties>
</file>