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39127" w14:textId="77777777" w:rsidR="00614DDC" w:rsidRDefault="009542D7" w:rsidP="00614DDC">
      <w:pPr>
        <w:jc w:val="center"/>
        <w:rPr>
          <w:rFonts w:hint="eastAsia"/>
          <w:sz w:val="24"/>
          <w:szCs w:val="24"/>
        </w:rPr>
      </w:pPr>
      <w:r w:rsidRPr="001E7095">
        <w:rPr>
          <w:rFonts w:hint="eastAsia"/>
          <w:sz w:val="24"/>
          <w:szCs w:val="24"/>
        </w:rPr>
        <w:t>和泉市</w:t>
      </w:r>
      <w:r w:rsidR="00D566E4" w:rsidRPr="001E7095">
        <w:rPr>
          <w:rFonts w:hint="eastAsia"/>
          <w:sz w:val="24"/>
          <w:szCs w:val="24"/>
        </w:rPr>
        <w:t>手</w:t>
      </w:r>
      <w:bookmarkStart w:id="0" w:name="_GoBack"/>
      <w:bookmarkEnd w:id="0"/>
      <w:r w:rsidR="00D566E4" w:rsidRPr="001E7095">
        <w:rPr>
          <w:rFonts w:hint="eastAsia"/>
          <w:sz w:val="24"/>
          <w:szCs w:val="24"/>
        </w:rPr>
        <w:t>話言語の理解</w:t>
      </w:r>
      <w:r w:rsidR="00657B8A" w:rsidRPr="001E7095">
        <w:rPr>
          <w:rFonts w:hint="eastAsia"/>
          <w:sz w:val="24"/>
          <w:szCs w:val="24"/>
        </w:rPr>
        <w:t>及び</w:t>
      </w:r>
      <w:r w:rsidR="00472B61" w:rsidRPr="001E7095">
        <w:rPr>
          <w:rFonts w:hint="eastAsia"/>
          <w:sz w:val="24"/>
          <w:szCs w:val="24"/>
        </w:rPr>
        <w:t>普及</w:t>
      </w:r>
      <w:r w:rsidR="00657B8A" w:rsidRPr="001E7095">
        <w:rPr>
          <w:rFonts w:hint="eastAsia"/>
          <w:sz w:val="24"/>
          <w:szCs w:val="24"/>
        </w:rPr>
        <w:t>並びに</w:t>
      </w:r>
    </w:p>
    <w:p w14:paraId="00A59C89" w14:textId="625485E5" w:rsidR="003D6AC1" w:rsidRPr="001E7095" w:rsidRDefault="00D566E4" w:rsidP="00614DDC">
      <w:pPr>
        <w:jc w:val="center"/>
        <w:rPr>
          <w:sz w:val="24"/>
          <w:szCs w:val="24"/>
        </w:rPr>
      </w:pPr>
      <w:r w:rsidRPr="001E7095">
        <w:rPr>
          <w:rFonts w:hint="eastAsia"/>
          <w:sz w:val="24"/>
          <w:szCs w:val="24"/>
        </w:rPr>
        <w:t>豊かなコミュニケ</w:t>
      </w:r>
      <w:r w:rsidR="00E96751">
        <w:rPr>
          <w:rFonts w:hint="eastAsia"/>
          <w:sz w:val="24"/>
          <w:szCs w:val="24"/>
        </w:rPr>
        <w:t>ー</w:t>
      </w:r>
      <w:r w:rsidRPr="001E7095">
        <w:rPr>
          <w:rFonts w:hint="eastAsia"/>
          <w:sz w:val="24"/>
          <w:szCs w:val="24"/>
        </w:rPr>
        <w:t>ション</w:t>
      </w:r>
      <w:r w:rsidR="004B13E6" w:rsidRPr="001E7095">
        <w:rPr>
          <w:rFonts w:hint="eastAsia"/>
          <w:sz w:val="24"/>
          <w:szCs w:val="24"/>
        </w:rPr>
        <w:t>の</w:t>
      </w:r>
      <w:r w:rsidR="009542D7" w:rsidRPr="001E7095">
        <w:rPr>
          <w:rFonts w:hint="eastAsia"/>
          <w:sz w:val="24"/>
          <w:szCs w:val="24"/>
        </w:rPr>
        <w:t>促進</w:t>
      </w:r>
      <w:r w:rsidR="00657B8A" w:rsidRPr="001E7095">
        <w:rPr>
          <w:rFonts w:hint="eastAsia"/>
          <w:sz w:val="24"/>
          <w:szCs w:val="24"/>
        </w:rPr>
        <w:t>に関する</w:t>
      </w:r>
      <w:r w:rsidR="009542D7" w:rsidRPr="001E7095">
        <w:rPr>
          <w:rFonts w:hint="eastAsia"/>
          <w:sz w:val="24"/>
          <w:szCs w:val="24"/>
        </w:rPr>
        <w:t>条例</w:t>
      </w:r>
    </w:p>
    <w:p w14:paraId="190DA190" w14:textId="77777777" w:rsidR="00760497" w:rsidRDefault="00760497" w:rsidP="009542D7">
      <w:pPr>
        <w:jc w:val="left"/>
        <w:rPr>
          <w:sz w:val="24"/>
          <w:szCs w:val="24"/>
        </w:rPr>
      </w:pPr>
    </w:p>
    <w:p w14:paraId="65592C0E" w14:textId="71A92F69" w:rsidR="00E96751" w:rsidRPr="00E96751" w:rsidRDefault="00E96751" w:rsidP="00E96751">
      <w:pPr>
        <w:ind w:firstLineChars="100" w:firstLine="240"/>
        <w:rPr>
          <w:sz w:val="24"/>
          <w:szCs w:val="24"/>
        </w:rPr>
      </w:pPr>
      <w:r w:rsidRPr="00E96751">
        <w:rPr>
          <w:rFonts w:hint="eastAsia"/>
          <w:sz w:val="24"/>
          <w:szCs w:val="24"/>
        </w:rPr>
        <w:t>手話は</w:t>
      </w:r>
      <w:r w:rsidR="009A127B" w:rsidRPr="00332279">
        <w:rPr>
          <w:rFonts w:hint="eastAsia"/>
          <w:sz w:val="24"/>
          <w:szCs w:val="24"/>
        </w:rPr>
        <w:t>、</w:t>
      </w:r>
      <w:r w:rsidRPr="00E96751">
        <w:rPr>
          <w:rFonts w:hint="eastAsia"/>
          <w:sz w:val="24"/>
          <w:szCs w:val="24"/>
        </w:rPr>
        <w:t>日本語とは異なる独自の文法構造をもつ独立した言語であり、手指や体の動き、表情を使って視覚的に表現する言語です。</w:t>
      </w:r>
    </w:p>
    <w:p w14:paraId="28FBF5AC" w14:textId="1AE0C177" w:rsidR="00E96751" w:rsidRPr="00E96751" w:rsidRDefault="00E96751" w:rsidP="00E96751">
      <w:pPr>
        <w:ind w:firstLineChars="100" w:firstLine="240"/>
        <w:rPr>
          <w:sz w:val="24"/>
          <w:szCs w:val="24"/>
        </w:rPr>
      </w:pPr>
      <w:r w:rsidRPr="00E96751">
        <w:rPr>
          <w:rFonts w:hint="eastAsia"/>
          <w:sz w:val="24"/>
          <w:szCs w:val="24"/>
        </w:rPr>
        <w:t>平成１８年に国際連合総会において採択され、平成２６年に日本が批准した障害者の権利に関する条約において、「『言語』とは</w:t>
      </w:r>
      <w:r w:rsidR="00450034">
        <w:rPr>
          <w:rFonts w:hint="eastAsia"/>
          <w:sz w:val="24"/>
          <w:szCs w:val="24"/>
        </w:rPr>
        <w:t>、</w:t>
      </w:r>
      <w:r w:rsidRPr="00E96751">
        <w:rPr>
          <w:rFonts w:hint="eastAsia"/>
          <w:sz w:val="24"/>
          <w:szCs w:val="24"/>
        </w:rPr>
        <w:t>音声</w:t>
      </w:r>
      <w:r w:rsidR="00450034">
        <w:rPr>
          <w:rFonts w:hint="eastAsia"/>
          <w:sz w:val="24"/>
          <w:szCs w:val="24"/>
        </w:rPr>
        <w:t>言語</w:t>
      </w:r>
      <w:r w:rsidRPr="00E96751">
        <w:rPr>
          <w:rFonts w:hint="eastAsia"/>
          <w:sz w:val="24"/>
          <w:szCs w:val="24"/>
        </w:rPr>
        <w:t>及び手話その他の形態の非音声言語をいう」と定義されました。また、平成２３年に改正された障害者基本法（昭和４５年法律第８４号）では、「言語（手話を含む。）」と明記されました。これらは、手話が日本語と同等の言語であると認められたということを意味しています。</w:t>
      </w:r>
    </w:p>
    <w:p w14:paraId="650C8021" w14:textId="4915C8AA" w:rsidR="00E96751" w:rsidRPr="00E96751" w:rsidRDefault="00E96751" w:rsidP="00E96751">
      <w:pPr>
        <w:rPr>
          <w:sz w:val="24"/>
          <w:szCs w:val="24"/>
        </w:rPr>
      </w:pPr>
      <w:r w:rsidRPr="00E96751">
        <w:rPr>
          <w:rFonts w:hint="eastAsia"/>
          <w:sz w:val="24"/>
          <w:szCs w:val="24"/>
        </w:rPr>
        <w:t xml:space="preserve">　過去には、ろう教育において手話の使用が</w:t>
      </w:r>
      <w:r w:rsidR="00450034">
        <w:rPr>
          <w:rFonts w:hint="eastAsia"/>
          <w:sz w:val="24"/>
          <w:szCs w:val="24"/>
        </w:rPr>
        <w:t>事実上</w:t>
      </w:r>
      <w:r w:rsidRPr="00E96751">
        <w:rPr>
          <w:rFonts w:hint="eastAsia"/>
          <w:sz w:val="24"/>
          <w:szCs w:val="24"/>
        </w:rPr>
        <w:t>禁止され、言語として認められなかった歴史があり、ろう者が手話により知識を習得し深めることや豊かな人間関係を構築し、</w:t>
      </w:r>
      <w:r w:rsidR="0043648D">
        <w:rPr>
          <w:rFonts w:hint="eastAsia"/>
          <w:sz w:val="24"/>
          <w:szCs w:val="24"/>
        </w:rPr>
        <w:t>自分らしく生きることが阻まれてきました。</w:t>
      </w:r>
      <w:r w:rsidRPr="00E96751">
        <w:rPr>
          <w:rFonts w:hint="eastAsia"/>
          <w:sz w:val="24"/>
          <w:szCs w:val="24"/>
        </w:rPr>
        <w:t>また、社会においても手話を使用する環境が整えられず、手話を第一言語とするろう者は、暮らしの場、働く場において不便や不安を抱えて生活してきました。</w:t>
      </w:r>
    </w:p>
    <w:p w14:paraId="2B9C581E" w14:textId="3BFF35FF" w:rsidR="00E96751" w:rsidRPr="00E96751" w:rsidRDefault="00E96751" w:rsidP="00E96751">
      <w:pPr>
        <w:ind w:firstLineChars="100" w:firstLine="240"/>
        <w:rPr>
          <w:strike/>
          <w:sz w:val="24"/>
          <w:szCs w:val="24"/>
        </w:rPr>
      </w:pPr>
      <w:r w:rsidRPr="00E96751">
        <w:rPr>
          <w:rFonts w:hint="eastAsia"/>
          <w:sz w:val="24"/>
          <w:szCs w:val="24"/>
        </w:rPr>
        <w:t>しかしながら、このような状況においても、ろう者を支えてきたのは手話です。手話で考え、人と交わりながら暮らしてきました。まさに手話は生きる力そのものであり、「手話はろう者のいのち」なのです。</w:t>
      </w:r>
    </w:p>
    <w:p w14:paraId="27ED407B" w14:textId="48C75A04" w:rsidR="00E96751" w:rsidRPr="00E96751" w:rsidRDefault="00E96751" w:rsidP="00E96751">
      <w:pPr>
        <w:rPr>
          <w:sz w:val="24"/>
          <w:szCs w:val="24"/>
        </w:rPr>
      </w:pPr>
      <w:r w:rsidRPr="00E96751">
        <w:rPr>
          <w:rFonts w:hint="eastAsia"/>
          <w:sz w:val="24"/>
          <w:szCs w:val="24"/>
        </w:rPr>
        <w:t xml:space="preserve">　一方で、手話のみならず、あらゆる障がい者が不安なくコミュニケーションを図ることができる環境づくりが求められています。</w:t>
      </w:r>
    </w:p>
    <w:p w14:paraId="53CF7065" w14:textId="22D53840" w:rsidR="00E96751" w:rsidRPr="00E96751" w:rsidRDefault="00E96751" w:rsidP="00E96751">
      <w:pPr>
        <w:ind w:firstLineChars="100" w:firstLine="240"/>
        <w:rPr>
          <w:sz w:val="24"/>
          <w:szCs w:val="24"/>
        </w:rPr>
      </w:pPr>
      <w:r w:rsidRPr="00E96751">
        <w:rPr>
          <w:rFonts w:hint="eastAsia"/>
          <w:sz w:val="24"/>
          <w:szCs w:val="24"/>
        </w:rPr>
        <w:t>こうしたことから、市民一人ひとりが</w:t>
      </w:r>
      <w:r w:rsidR="0008063A">
        <w:rPr>
          <w:rFonts w:hint="eastAsia"/>
          <w:sz w:val="24"/>
          <w:szCs w:val="24"/>
        </w:rPr>
        <w:t>あらゆる障がい者</w:t>
      </w:r>
      <w:r w:rsidRPr="00E96751">
        <w:rPr>
          <w:rFonts w:hint="eastAsia"/>
          <w:sz w:val="24"/>
          <w:szCs w:val="24"/>
        </w:rPr>
        <w:t>に関する理解を深め、お互いに支え合える環境づくりを進めていくとともに、手話、要約筆記、音訳、点字、触手話、平易な表現、コミュニケーションボード、重度障がい者用意思伝達装置など様々なコミュニケーション手段を選択</w:t>
      </w:r>
      <w:r w:rsidR="00450034">
        <w:rPr>
          <w:rFonts w:hint="eastAsia"/>
          <w:sz w:val="24"/>
          <w:szCs w:val="24"/>
        </w:rPr>
        <w:t>することが</w:t>
      </w:r>
      <w:r w:rsidRPr="00E96751">
        <w:rPr>
          <w:rFonts w:hint="eastAsia"/>
          <w:sz w:val="24"/>
          <w:szCs w:val="24"/>
        </w:rPr>
        <w:t>できる社会の実現を進めていく必要があります。</w:t>
      </w:r>
    </w:p>
    <w:p w14:paraId="5817B7FE" w14:textId="77777777" w:rsidR="00E96751" w:rsidRPr="00E96751" w:rsidRDefault="00E96751" w:rsidP="00E96751">
      <w:pPr>
        <w:ind w:firstLineChars="100" w:firstLine="240"/>
        <w:rPr>
          <w:sz w:val="24"/>
          <w:szCs w:val="24"/>
        </w:rPr>
      </w:pPr>
      <w:r w:rsidRPr="00E96751">
        <w:rPr>
          <w:rFonts w:hint="eastAsia"/>
          <w:sz w:val="24"/>
          <w:szCs w:val="24"/>
        </w:rPr>
        <w:t>よって、手話が言語であることを認識し、誰もが日常生活及び社会生活において豊かなコミュニケーションを図ることができ、障がいの有無にかかわらず、全ての人が相互に人格と個性を尊重し合いながら共生することのできる和泉市を目指し、この条例を制定します。</w:t>
      </w:r>
    </w:p>
    <w:p w14:paraId="20FA7B4B" w14:textId="77777777" w:rsidR="00E96751" w:rsidRPr="00E96751" w:rsidRDefault="00E96751" w:rsidP="00E96751">
      <w:pPr>
        <w:ind w:firstLineChars="100" w:firstLine="240"/>
        <w:rPr>
          <w:sz w:val="24"/>
          <w:szCs w:val="24"/>
        </w:rPr>
      </w:pPr>
      <w:r w:rsidRPr="00E96751">
        <w:rPr>
          <w:rFonts w:hint="eastAsia"/>
          <w:sz w:val="24"/>
          <w:szCs w:val="24"/>
        </w:rPr>
        <w:t>（目的）</w:t>
      </w:r>
    </w:p>
    <w:p w14:paraId="4458B4ED" w14:textId="1E80EDCC" w:rsidR="00E96751" w:rsidRPr="00E96751" w:rsidRDefault="00E96751" w:rsidP="00E96751">
      <w:pPr>
        <w:ind w:left="240" w:hangingChars="100" w:hanging="240"/>
        <w:rPr>
          <w:sz w:val="24"/>
          <w:szCs w:val="24"/>
        </w:rPr>
      </w:pPr>
      <w:r w:rsidRPr="00E96751">
        <w:rPr>
          <w:rFonts w:hint="eastAsia"/>
          <w:sz w:val="24"/>
          <w:szCs w:val="24"/>
        </w:rPr>
        <w:t>第１条　この条例は、手話は言語であることの認識に基づき、手話への理解の促進及び普及並びに手話等コミュニケーション手段を利用しやすい環境の整備に関する施策を総合的かつ計画的に推進することで、全ての市民が障がいの有無によって分け隔てられることなく、相互に人格と個性を尊重し合いながら共生する地域社会の実現に寄与することを目的とする。</w:t>
      </w:r>
    </w:p>
    <w:p w14:paraId="1A21C948" w14:textId="77777777" w:rsidR="00E96751" w:rsidRPr="00E96751" w:rsidRDefault="00E96751" w:rsidP="00E96751">
      <w:pPr>
        <w:ind w:leftChars="100" w:left="210"/>
        <w:rPr>
          <w:sz w:val="24"/>
          <w:szCs w:val="24"/>
        </w:rPr>
      </w:pPr>
      <w:r w:rsidRPr="00E96751">
        <w:rPr>
          <w:rFonts w:hint="eastAsia"/>
          <w:sz w:val="24"/>
          <w:szCs w:val="24"/>
        </w:rPr>
        <w:t>（定義）</w:t>
      </w:r>
    </w:p>
    <w:p w14:paraId="1D339930" w14:textId="77777777" w:rsidR="00E96751" w:rsidRPr="00E96751" w:rsidRDefault="00E96751" w:rsidP="007B0134">
      <w:pPr>
        <w:ind w:left="240" w:hangingChars="100" w:hanging="240"/>
        <w:rPr>
          <w:sz w:val="24"/>
          <w:szCs w:val="24"/>
        </w:rPr>
      </w:pPr>
      <w:r w:rsidRPr="00E96751">
        <w:rPr>
          <w:rFonts w:hint="eastAsia"/>
          <w:sz w:val="24"/>
          <w:szCs w:val="24"/>
        </w:rPr>
        <w:t>第２条　この条例において、次の各号に掲げる用語の意義は、当該各号に定めるところによる。</w:t>
      </w:r>
    </w:p>
    <w:p w14:paraId="5F888B98" w14:textId="11A0E5E8" w:rsidR="00E96751" w:rsidRPr="00E96751" w:rsidRDefault="00E96751" w:rsidP="00EA173C">
      <w:pPr>
        <w:ind w:left="480" w:hangingChars="200" w:hanging="480"/>
        <w:rPr>
          <w:sz w:val="24"/>
          <w:szCs w:val="24"/>
        </w:rPr>
      </w:pPr>
      <w:r w:rsidRPr="00E96751">
        <w:rPr>
          <w:rFonts w:hint="eastAsia"/>
          <w:sz w:val="24"/>
          <w:szCs w:val="24"/>
        </w:rPr>
        <w:lastRenderedPageBreak/>
        <w:t>（１）手話</w:t>
      </w:r>
      <w:r w:rsidR="00EA173C">
        <w:rPr>
          <w:rFonts w:hint="eastAsia"/>
          <w:sz w:val="24"/>
          <w:szCs w:val="24"/>
        </w:rPr>
        <w:t>への理解の促進</w:t>
      </w:r>
      <w:r w:rsidR="00471502">
        <w:rPr>
          <w:rFonts w:hint="eastAsia"/>
          <w:sz w:val="24"/>
          <w:szCs w:val="24"/>
        </w:rPr>
        <w:t>及び</w:t>
      </w:r>
      <w:r w:rsidR="00EA173C">
        <w:rPr>
          <w:rFonts w:hint="eastAsia"/>
          <w:sz w:val="24"/>
          <w:szCs w:val="24"/>
        </w:rPr>
        <w:t>普及　手話が言語の一つであること</w:t>
      </w:r>
      <w:r w:rsidR="009A127B" w:rsidRPr="00332279">
        <w:rPr>
          <w:rFonts w:hint="eastAsia"/>
          <w:sz w:val="24"/>
          <w:szCs w:val="24"/>
        </w:rPr>
        <w:t>へ</w:t>
      </w:r>
      <w:r w:rsidR="00EA173C">
        <w:rPr>
          <w:rFonts w:hint="eastAsia"/>
          <w:sz w:val="24"/>
          <w:szCs w:val="24"/>
        </w:rPr>
        <w:t>の理解の促進</w:t>
      </w:r>
      <w:r w:rsidR="009A127B" w:rsidRPr="00332279">
        <w:rPr>
          <w:rFonts w:hint="eastAsia"/>
          <w:sz w:val="24"/>
          <w:szCs w:val="24"/>
        </w:rPr>
        <w:t>及び</w:t>
      </w:r>
      <w:r w:rsidR="00EA173C">
        <w:rPr>
          <w:rFonts w:hint="eastAsia"/>
          <w:sz w:val="24"/>
          <w:szCs w:val="24"/>
        </w:rPr>
        <w:t>普及を図ること</w:t>
      </w:r>
      <w:r w:rsidRPr="00E96751">
        <w:rPr>
          <w:rFonts w:hint="eastAsia"/>
          <w:sz w:val="24"/>
          <w:szCs w:val="24"/>
        </w:rPr>
        <w:t>をいう。</w:t>
      </w:r>
    </w:p>
    <w:p w14:paraId="14603929" w14:textId="77777777" w:rsidR="00E96751" w:rsidRPr="00E96751" w:rsidRDefault="00E96751" w:rsidP="00E96751">
      <w:pPr>
        <w:ind w:left="480" w:hangingChars="200" w:hanging="480"/>
        <w:rPr>
          <w:sz w:val="24"/>
          <w:szCs w:val="24"/>
        </w:rPr>
      </w:pPr>
      <w:r w:rsidRPr="00E96751">
        <w:rPr>
          <w:rFonts w:hint="eastAsia"/>
          <w:sz w:val="24"/>
          <w:szCs w:val="24"/>
        </w:rPr>
        <w:t>（２）手話等コミュニケーション手段　手話、要約筆記、音訳、点字、触手話、平易な表現、コミュニケーションボード、重度障がい者用意思伝達装置その他の障がい者が情報の取得及びコミュニケーションを行う際に必要な手段として利用されるものをいう。</w:t>
      </w:r>
    </w:p>
    <w:p w14:paraId="4A7DA5CC" w14:textId="77777777" w:rsidR="00E96751" w:rsidRPr="00E96751" w:rsidRDefault="00E96751" w:rsidP="00E96751">
      <w:pPr>
        <w:ind w:firstLineChars="100" w:firstLine="240"/>
        <w:rPr>
          <w:sz w:val="24"/>
          <w:szCs w:val="24"/>
        </w:rPr>
      </w:pPr>
      <w:r w:rsidRPr="00E96751">
        <w:rPr>
          <w:rFonts w:hint="eastAsia"/>
          <w:sz w:val="24"/>
          <w:szCs w:val="24"/>
        </w:rPr>
        <w:t>（基本理念）</w:t>
      </w:r>
    </w:p>
    <w:p w14:paraId="514E5D06" w14:textId="5142DA19" w:rsidR="00E96751" w:rsidRPr="00E96751" w:rsidRDefault="00E96751" w:rsidP="00E96751">
      <w:pPr>
        <w:ind w:left="240" w:hangingChars="100" w:hanging="240"/>
        <w:rPr>
          <w:sz w:val="24"/>
          <w:szCs w:val="24"/>
        </w:rPr>
      </w:pPr>
      <w:r w:rsidRPr="00E96751">
        <w:rPr>
          <w:rFonts w:hint="eastAsia"/>
          <w:sz w:val="24"/>
          <w:szCs w:val="24"/>
        </w:rPr>
        <w:t>第３条　手話への理解の促進及び普及は、手話が独自の言語であることを基本として行わなければならない。</w:t>
      </w:r>
    </w:p>
    <w:p w14:paraId="465387D2" w14:textId="71C0027F" w:rsidR="00E96751" w:rsidRPr="00E96751" w:rsidRDefault="00E96751" w:rsidP="00E96751">
      <w:pPr>
        <w:ind w:left="240" w:hangingChars="100" w:hanging="240"/>
        <w:rPr>
          <w:sz w:val="24"/>
          <w:szCs w:val="24"/>
        </w:rPr>
      </w:pPr>
      <w:r w:rsidRPr="00E96751">
        <w:rPr>
          <w:rFonts w:hint="eastAsia"/>
          <w:sz w:val="24"/>
          <w:szCs w:val="24"/>
        </w:rPr>
        <w:t>２　手話等コミュニケーション手段を利用しやすい環境の整備は、障がいの有無にかかわらず、全ての人が相互の違いを理解し、人格と個性を互いに尊重することを基本として行わなければならない。</w:t>
      </w:r>
    </w:p>
    <w:p w14:paraId="0D8E5890" w14:textId="77777777" w:rsidR="00E96751" w:rsidRPr="00E96751" w:rsidRDefault="00E96751" w:rsidP="00E96751">
      <w:pPr>
        <w:ind w:leftChars="100" w:left="210"/>
        <w:rPr>
          <w:sz w:val="24"/>
          <w:szCs w:val="24"/>
        </w:rPr>
      </w:pPr>
      <w:r w:rsidRPr="00E96751">
        <w:rPr>
          <w:rFonts w:hint="eastAsia"/>
          <w:sz w:val="24"/>
          <w:szCs w:val="24"/>
        </w:rPr>
        <w:t>（市の責務）</w:t>
      </w:r>
    </w:p>
    <w:p w14:paraId="28E8348D" w14:textId="0CB5D15E" w:rsidR="00E96751" w:rsidRPr="00E96751" w:rsidRDefault="00E96751" w:rsidP="00E96751">
      <w:pPr>
        <w:ind w:left="240" w:hangingChars="100" w:hanging="240"/>
        <w:rPr>
          <w:sz w:val="24"/>
          <w:szCs w:val="24"/>
        </w:rPr>
      </w:pPr>
      <w:r w:rsidRPr="00E96751">
        <w:rPr>
          <w:rFonts w:hint="eastAsia"/>
          <w:sz w:val="24"/>
          <w:szCs w:val="24"/>
        </w:rPr>
        <w:t>第４条　市は、基本理念にのっとり、手話への理解の促進及び普及並びに手話等コミュニケーション手段を利用しやすい環境の整備</w:t>
      </w:r>
      <w:r w:rsidR="00C87DB1">
        <w:rPr>
          <w:rFonts w:hint="eastAsia"/>
          <w:sz w:val="24"/>
          <w:szCs w:val="24"/>
        </w:rPr>
        <w:t>について</w:t>
      </w:r>
      <w:r w:rsidRPr="00E96751">
        <w:rPr>
          <w:rFonts w:hint="eastAsia"/>
          <w:sz w:val="24"/>
          <w:szCs w:val="24"/>
        </w:rPr>
        <w:t>、障がい者の自立した日常生活及び地域における社会参加の促進を図ることができるよう、施策を実施するものとする。</w:t>
      </w:r>
    </w:p>
    <w:p w14:paraId="57BAB8E0" w14:textId="77777777" w:rsidR="00E96751" w:rsidRPr="00E96751" w:rsidRDefault="00E96751" w:rsidP="00E96751">
      <w:pPr>
        <w:ind w:leftChars="100" w:left="210"/>
        <w:rPr>
          <w:sz w:val="24"/>
          <w:szCs w:val="24"/>
        </w:rPr>
      </w:pPr>
      <w:r w:rsidRPr="00E96751">
        <w:rPr>
          <w:rFonts w:hint="eastAsia"/>
          <w:sz w:val="24"/>
          <w:szCs w:val="24"/>
        </w:rPr>
        <w:t>（市民の役割）</w:t>
      </w:r>
    </w:p>
    <w:p w14:paraId="31534C35" w14:textId="362DC649" w:rsidR="00E96751" w:rsidRPr="00E96751" w:rsidRDefault="00E96751" w:rsidP="00E96751">
      <w:pPr>
        <w:ind w:left="240" w:hangingChars="100" w:hanging="240"/>
        <w:rPr>
          <w:sz w:val="24"/>
          <w:szCs w:val="24"/>
        </w:rPr>
      </w:pPr>
      <w:r w:rsidRPr="00E96751">
        <w:rPr>
          <w:rFonts w:hint="eastAsia"/>
          <w:sz w:val="24"/>
          <w:szCs w:val="24"/>
        </w:rPr>
        <w:t>第５条　市民は、基本理念に対する理解を深め、手話への理解の促進及び普及並びに手話等コミュニケーション手段を利用しやすい環境の整備に関する市の施策に協力するよう努めるものとする。</w:t>
      </w:r>
    </w:p>
    <w:p w14:paraId="639F5722" w14:textId="77777777" w:rsidR="00E96751" w:rsidRPr="00E96751" w:rsidRDefault="00E96751" w:rsidP="00E96751">
      <w:pPr>
        <w:ind w:leftChars="100" w:left="210"/>
        <w:rPr>
          <w:sz w:val="24"/>
          <w:szCs w:val="24"/>
        </w:rPr>
      </w:pPr>
      <w:r w:rsidRPr="00E96751">
        <w:rPr>
          <w:rFonts w:hint="eastAsia"/>
          <w:sz w:val="24"/>
          <w:szCs w:val="24"/>
        </w:rPr>
        <w:t>（事業者の役割）</w:t>
      </w:r>
    </w:p>
    <w:p w14:paraId="7FC8E5F8" w14:textId="3E33EACE" w:rsidR="00D74D93" w:rsidRDefault="00E96751" w:rsidP="00E96751">
      <w:pPr>
        <w:ind w:left="240" w:hangingChars="100" w:hanging="240"/>
        <w:rPr>
          <w:sz w:val="24"/>
          <w:szCs w:val="24"/>
        </w:rPr>
      </w:pPr>
      <w:r w:rsidRPr="00E96751">
        <w:rPr>
          <w:rFonts w:hint="eastAsia"/>
          <w:sz w:val="24"/>
          <w:szCs w:val="24"/>
        </w:rPr>
        <w:t>第６条　事業者は、</w:t>
      </w:r>
      <w:r w:rsidR="00D74D93" w:rsidRPr="00E96751">
        <w:rPr>
          <w:rFonts w:hint="eastAsia"/>
          <w:sz w:val="24"/>
          <w:szCs w:val="24"/>
        </w:rPr>
        <w:t>障がい者が利用しやすいサービスを提供するなど、障害者の権利に関する条約</w:t>
      </w:r>
      <w:r w:rsidR="00D74D93">
        <w:rPr>
          <w:rFonts w:hint="eastAsia"/>
          <w:sz w:val="24"/>
          <w:szCs w:val="24"/>
        </w:rPr>
        <w:t>に基づく合理的配慮の提供並びに</w:t>
      </w:r>
      <w:r w:rsidR="00D74D93" w:rsidRPr="00E96751">
        <w:rPr>
          <w:rFonts w:hint="eastAsia"/>
          <w:sz w:val="24"/>
          <w:szCs w:val="24"/>
        </w:rPr>
        <w:t>障害を理由とする差別の解消の推進に関する法律（平成２５年法律第６５号）に</w:t>
      </w:r>
      <w:r w:rsidR="00D74D93">
        <w:rPr>
          <w:rFonts w:hint="eastAsia"/>
          <w:sz w:val="24"/>
          <w:szCs w:val="24"/>
        </w:rPr>
        <w:t>基づく必要かつ</w:t>
      </w:r>
      <w:r w:rsidR="00D74D93" w:rsidRPr="00E96751">
        <w:rPr>
          <w:rFonts w:hint="eastAsia"/>
          <w:sz w:val="24"/>
          <w:szCs w:val="24"/>
        </w:rPr>
        <w:t>合理的</w:t>
      </w:r>
      <w:r w:rsidR="009A127B" w:rsidRPr="00332279">
        <w:rPr>
          <w:rFonts w:hint="eastAsia"/>
          <w:sz w:val="24"/>
          <w:szCs w:val="24"/>
        </w:rPr>
        <w:t>な</w:t>
      </w:r>
      <w:r w:rsidR="00D74D93" w:rsidRPr="00332279">
        <w:rPr>
          <w:rFonts w:hint="eastAsia"/>
          <w:sz w:val="24"/>
          <w:szCs w:val="24"/>
        </w:rPr>
        <w:t>配慮の提供</w:t>
      </w:r>
      <w:r w:rsidR="00471502" w:rsidRPr="00332279">
        <w:rPr>
          <w:rFonts w:hint="eastAsia"/>
          <w:sz w:val="24"/>
          <w:szCs w:val="24"/>
        </w:rPr>
        <w:t>及び</w:t>
      </w:r>
      <w:r w:rsidR="00D74D93" w:rsidRPr="00332279">
        <w:rPr>
          <w:rFonts w:hint="eastAsia"/>
          <w:sz w:val="24"/>
          <w:szCs w:val="24"/>
        </w:rPr>
        <w:t>環境</w:t>
      </w:r>
      <w:r w:rsidR="009A127B" w:rsidRPr="00332279">
        <w:rPr>
          <w:rFonts w:hint="eastAsia"/>
          <w:sz w:val="24"/>
          <w:szCs w:val="24"/>
        </w:rPr>
        <w:t>の</w:t>
      </w:r>
      <w:r w:rsidR="00D74D93" w:rsidRPr="00332279">
        <w:rPr>
          <w:rFonts w:hint="eastAsia"/>
          <w:sz w:val="24"/>
          <w:szCs w:val="24"/>
        </w:rPr>
        <w:t>整備に</w:t>
      </w:r>
      <w:r w:rsidR="00D74D93" w:rsidRPr="00E96751">
        <w:rPr>
          <w:rFonts w:hint="eastAsia"/>
          <w:sz w:val="24"/>
          <w:szCs w:val="24"/>
        </w:rPr>
        <w:t>努めるもの</w:t>
      </w:r>
      <w:r w:rsidR="00D74D93">
        <w:rPr>
          <w:rFonts w:hint="eastAsia"/>
          <w:sz w:val="24"/>
          <w:szCs w:val="24"/>
        </w:rPr>
        <w:t>とする。</w:t>
      </w:r>
    </w:p>
    <w:p w14:paraId="72DE90EF" w14:textId="151CAEC5" w:rsidR="00E96751" w:rsidRPr="00E96751" w:rsidRDefault="00D74D93" w:rsidP="00E96751">
      <w:pPr>
        <w:ind w:left="240" w:hangingChars="100" w:hanging="240"/>
        <w:rPr>
          <w:sz w:val="24"/>
          <w:szCs w:val="24"/>
        </w:rPr>
      </w:pPr>
      <w:r>
        <w:rPr>
          <w:rFonts w:hint="eastAsia"/>
          <w:sz w:val="24"/>
          <w:szCs w:val="24"/>
        </w:rPr>
        <w:t>２　事業者は、</w:t>
      </w:r>
      <w:r w:rsidR="00E96751" w:rsidRPr="00E96751">
        <w:rPr>
          <w:rFonts w:hint="eastAsia"/>
          <w:sz w:val="24"/>
          <w:szCs w:val="24"/>
        </w:rPr>
        <w:t>基本理念に対する理解を深め、手話への理解の促進及び普及並びに手話等コミュニケーション手段を利用しやすい環境の整備に関する市の施策に協力するよう努める</w:t>
      </w:r>
      <w:r>
        <w:rPr>
          <w:rFonts w:hint="eastAsia"/>
          <w:sz w:val="24"/>
          <w:szCs w:val="24"/>
        </w:rPr>
        <w:t>もの</w:t>
      </w:r>
      <w:r w:rsidR="00E96751" w:rsidRPr="00E96751">
        <w:rPr>
          <w:rFonts w:hint="eastAsia"/>
          <w:sz w:val="24"/>
          <w:szCs w:val="24"/>
        </w:rPr>
        <w:t>とする。</w:t>
      </w:r>
    </w:p>
    <w:p w14:paraId="5F6B1C01" w14:textId="77777777" w:rsidR="00E96751" w:rsidRPr="00E96751" w:rsidRDefault="00E96751" w:rsidP="00E96751">
      <w:pPr>
        <w:ind w:leftChars="100" w:left="210"/>
        <w:rPr>
          <w:sz w:val="24"/>
          <w:szCs w:val="24"/>
        </w:rPr>
      </w:pPr>
      <w:r w:rsidRPr="00E96751">
        <w:rPr>
          <w:rFonts w:hint="eastAsia"/>
          <w:sz w:val="24"/>
          <w:szCs w:val="24"/>
        </w:rPr>
        <w:t>（施策の推進方針）</w:t>
      </w:r>
    </w:p>
    <w:p w14:paraId="2B1E43E2" w14:textId="77777777" w:rsidR="00E96751" w:rsidRPr="00E96751" w:rsidRDefault="00E96751" w:rsidP="00E96751">
      <w:pPr>
        <w:ind w:left="240" w:hangingChars="100" w:hanging="240"/>
        <w:rPr>
          <w:sz w:val="24"/>
          <w:szCs w:val="24"/>
        </w:rPr>
      </w:pPr>
      <w:r w:rsidRPr="00E96751">
        <w:rPr>
          <w:rFonts w:hint="eastAsia"/>
          <w:sz w:val="24"/>
          <w:szCs w:val="24"/>
        </w:rPr>
        <w:t>第７条　市は、次に掲げる事項を定めた施策を推進するための方針（以下「推進方針」という。）を策定するものとする。</w:t>
      </w:r>
    </w:p>
    <w:p w14:paraId="431EEFB2" w14:textId="086983A7" w:rsidR="00E96751" w:rsidRPr="00E96751" w:rsidRDefault="00E96751" w:rsidP="00E96751">
      <w:pPr>
        <w:ind w:left="240" w:hangingChars="100" w:hanging="240"/>
        <w:rPr>
          <w:sz w:val="24"/>
          <w:szCs w:val="24"/>
        </w:rPr>
      </w:pPr>
      <w:r w:rsidRPr="00E96751">
        <w:rPr>
          <w:rFonts w:hint="eastAsia"/>
          <w:sz w:val="24"/>
          <w:szCs w:val="24"/>
        </w:rPr>
        <w:t>（１）手話への理解の促進及び普及に関する事項</w:t>
      </w:r>
    </w:p>
    <w:p w14:paraId="14DE5B28" w14:textId="53BC1A2B" w:rsidR="00E96751" w:rsidRPr="00E96751" w:rsidRDefault="00E96751" w:rsidP="00E96751">
      <w:pPr>
        <w:ind w:left="240" w:hangingChars="100" w:hanging="240"/>
        <w:rPr>
          <w:sz w:val="24"/>
          <w:szCs w:val="24"/>
        </w:rPr>
      </w:pPr>
      <w:r w:rsidRPr="00E96751">
        <w:rPr>
          <w:rFonts w:hint="eastAsia"/>
          <w:sz w:val="24"/>
          <w:szCs w:val="24"/>
        </w:rPr>
        <w:t>（２）手話等コミュニケーション手段</w:t>
      </w:r>
      <w:r w:rsidR="00471502">
        <w:rPr>
          <w:rFonts w:hint="eastAsia"/>
          <w:sz w:val="24"/>
          <w:szCs w:val="24"/>
        </w:rPr>
        <w:t>を</w:t>
      </w:r>
      <w:r w:rsidRPr="00E96751">
        <w:rPr>
          <w:rFonts w:hint="eastAsia"/>
          <w:sz w:val="24"/>
          <w:szCs w:val="24"/>
        </w:rPr>
        <w:t>利用しやすい環境の整備に関する事項</w:t>
      </w:r>
    </w:p>
    <w:p w14:paraId="315BB8B1" w14:textId="2065E03E" w:rsidR="00E96751" w:rsidRPr="00E96751" w:rsidRDefault="00E96751" w:rsidP="00E96751">
      <w:pPr>
        <w:ind w:left="240" w:hangingChars="100" w:hanging="240"/>
        <w:rPr>
          <w:sz w:val="24"/>
          <w:szCs w:val="24"/>
        </w:rPr>
      </w:pPr>
      <w:r w:rsidRPr="00E96751">
        <w:rPr>
          <w:rFonts w:hint="eastAsia"/>
          <w:sz w:val="24"/>
          <w:szCs w:val="24"/>
        </w:rPr>
        <w:t>（３）手話等コミュニケーション手段による情報</w:t>
      </w:r>
      <w:r w:rsidR="00450034">
        <w:rPr>
          <w:rFonts w:hint="eastAsia"/>
          <w:sz w:val="24"/>
          <w:szCs w:val="24"/>
        </w:rPr>
        <w:t>の</w:t>
      </w:r>
      <w:r w:rsidRPr="00E96751">
        <w:rPr>
          <w:rFonts w:hint="eastAsia"/>
          <w:sz w:val="24"/>
          <w:szCs w:val="24"/>
        </w:rPr>
        <w:t>提供及び取得に関する事項</w:t>
      </w:r>
    </w:p>
    <w:p w14:paraId="26C929C1" w14:textId="77777777" w:rsidR="00E96751" w:rsidRPr="00E96751" w:rsidRDefault="00E96751" w:rsidP="00E96751">
      <w:pPr>
        <w:ind w:left="240" w:hangingChars="100" w:hanging="240"/>
        <w:rPr>
          <w:sz w:val="24"/>
          <w:szCs w:val="24"/>
        </w:rPr>
      </w:pPr>
      <w:r w:rsidRPr="00E96751">
        <w:rPr>
          <w:rFonts w:hint="eastAsia"/>
          <w:sz w:val="24"/>
          <w:szCs w:val="24"/>
        </w:rPr>
        <w:t>（４）手話等コミュニケーション手段による意思疎通の支援に関する事項</w:t>
      </w:r>
    </w:p>
    <w:p w14:paraId="0E53A795" w14:textId="450E1017" w:rsidR="00E96751" w:rsidRPr="00E96751" w:rsidRDefault="00E96751" w:rsidP="00E96751">
      <w:pPr>
        <w:ind w:left="480" w:hangingChars="200" w:hanging="480"/>
        <w:rPr>
          <w:sz w:val="24"/>
          <w:szCs w:val="24"/>
        </w:rPr>
      </w:pPr>
      <w:r w:rsidRPr="00E96751">
        <w:rPr>
          <w:rFonts w:hint="eastAsia"/>
          <w:sz w:val="24"/>
          <w:szCs w:val="24"/>
        </w:rPr>
        <w:t>（５）前各号に掲げるもののほか、第１条</w:t>
      </w:r>
      <w:r w:rsidR="00450034">
        <w:rPr>
          <w:rFonts w:hint="eastAsia"/>
          <w:sz w:val="24"/>
          <w:szCs w:val="24"/>
        </w:rPr>
        <w:t>の</w:t>
      </w:r>
      <w:r w:rsidRPr="00E96751">
        <w:rPr>
          <w:rFonts w:hint="eastAsia"/>
          <w:sz w:val="24"/>
          <w:szCs w:val="24"/>
        </w:rPr>
        <w:t>目的を達成するために市長が必要と認める事項</w:t>
      </w:r>
    </w:p>
    <w:p w14:paraId="3A50CA22" w14:textId="77777777" w:rsidR="00E96751" w:rsidRPr="00E96751" w:rsidRDefault="00E96751" w:rsidP="00E96751">
      <w:pPr>
        <w:ind w:left="480" w:hangingChars="200" w:hanging="480"/>
        <w:rPr>
          <w:sz w:val="24"/>
          <w:szCs w:val="24"/>
        </w:rPr>
      </w:pPr>
      <w:r w:rsidRPr="00E96751">
        <w:rPr>
          <w:rFonts w:hint="eastAsia"/>
          <w:sz w:val="24"/>
          <w:szCs w:val="24"/>
        </w:rPr>
        <w:t>２　推進方針は、次に掲げる計画と調和が保たれるものでなければならない。</w:t>
      </w:r>
    </w:p>
    <w:p w14:paraId="48674D5F" w14:textId="77777777" w:rsidR="00E96751" w:rsidRPr="00E96751" w:rsidRDefault="00E96751" w:rsidP="00E96751">
      <w:pPr>
        <w:ind w:left="480" w:hangingChars="200" w:hanging="480"/>
        <w:rPr>
          <w:sz w:val="24"/>
          <w:szCs w:val="24"/>
        </w:rPr>
      </w:pPr>
      <w:r w:rsidRPr="00E96751">
        <w:rPr>
          <w:rFonts w:hint="eastAsia"/>
          <w:sz w:val="24"/>
          <w:szCs w:val="24"/>
        </w:rPr>
        <w:lastRenderedPageBreak/>
        <w:t>（１）障害者基本法（昭和４５年法律第８４号）第１１条第３項に規定する市町村障害者計画</w:t>
      </w:r>
    </w:p>
    <w:p w14:paraId="3E10193E" w14:textId="77777777" w:rsidR="00E96751" w:rsidRDefault="00E96751" w:rsidP="00E96751">
      <w:pPr>
        <w:ind w:left="480" w:hangingChars="200" w:hanging="480"/>
        <w:rPr>
          <w:sz w:val="24"/>
          <w:szCs w:val="24"/>
        </w:rPr>
      </w:pPr>
      <w:r w:rsidRPr="00E96751">
        <w:rPr>
          <w:rFonts w:hint="eastAsia"/>
          <w:sz w:val="24"/>
          <w:szCs w:val="24"/>
        </w:rPr>
        <w:t>（２）障害者の日常生活及び社会生活を総合的に支援するための法律（平成１７年法律第１２３号）第８８条第１項に規定する市町村障害福祉計画</w:t>
      </w:r>
    </w:p>
    <w:p w14:paraId="6516F955" w14:textId="7647DE2E" w:rsidR="00EA173C" w:rsidRPr="00E96751" w:rsidRDefault="00EA173C" w:rsidP="00E96751">
      <w:pPr>
        <w:ind w:left="480" w:hangingChars="200" w:hanging="480"/>
        <w:rPr>
          <w:sz w:val="24"/>
          <w:szCs w:val="24"/>
        </w:rPr>
      </w:pPr>
      <w:r>
        <w:rPr>
          <w:rFonts w:hint="eastAsia"/>
          <w:sz w:val="24"/>
          <w:szCs w:val="24"/>
        </w:rPr>
        <w:t>（３）児童福祉法（昭和２２年法律第１６４号）第３３条の２０第１項に規定する市町村障害児福祉計画</w:t>
      </w:r>
    </w:p>
    <w:p w14:paraId="0AA5304D" w14:textId="77777777" w:rsidR="00E96751" w:rsidRPr="00E96751" w:rsidRDefault="00E96751" w:rsidP="00E96751">
      <w:pPr>
        <w:ind w:firstLineChars="100" w:firstLine="240"/>
        <w:rPr>
          <w:sz w:val="24"/>
          <w:szCs w:val="24"/>
        </w:rPr>
      </w:pPr>
      <w:r w:rsidRPr="00E96751">
        <w:rPr>
          <w:rFonts w:hint="eastAsia"/>
          <w:sz w:val="24"/>
          <w:szCs w:val="24"/>
        </w:rPr>
        <w:t>（意見の聴取）</w:t>
      </w:r>
    </w:p>
    <w:p w14:paraId="0079B3F8" w14:textId="022F5553" w:rsidR="00EA173C" w:rsidRDefault="00E96751" w:rsidP="00E96751">
      <w:pPr>
        <w:ind w:left="240" w:hangingChars="100" w:hanging="240"/>
        <w:rPr>
          <w:sz w:val="24"/>
          <w:szCs w:val="24"/>
        </w:rPr>
      </w:pPr>
      <w:r w:rsidRPr="00E96751">
        <w:rPr>
          <w:rFonts w:hint="eastAsia"/>
          <w:sz w:val="24"/>
          <w:szCs w:val="24"/>
        </w:rPr>
        <w:t>第８条　市は、推進方針を策定し、</w:t>
      </w:r>
      <w:r w:rsidR="00450034">
        <w:rPr>
          <w:rFonts w:hint="eastAsia"/>
          <w:sz w:val="24"/>
          <w:szCs w:val="24"/>
        </w:rPr>
        <w:t>又は</w:t>
      </w:r>
      <w:r w:rsidRPr="00E96751">
        <w:rPr>
          <w:rFonts w:hint="eastAsia"/>
          <w:sz w:val="24"/>
          <w:szCs w:val="24"/>
        </w:rPr>
        <w:t>変更しようとするとき</w:t>
      </w:r>
      <w:r w:rsidR="00EA173C">
        <w:rPr>
          <w:rFonts w:hint="eastAsia"/>
          <w:sz w:val="24"/>
          <w:szCs w:val="24"/>
        </w:rPr>
        <w:t>は</w:t>
      </w:r>
      <w:r w:rsidRPr="00E96751">
        <w:rPr>
          <w:rFonts w:hint="eastAsia"/>
          <w:sz w:val="24"/>
          <w:szCs w:val="24"/>
        </w:rPr>
        <w:t>、</w:t>
      </w:r>
      <w:r w:rsidR="00450034">
        <w:rPr>
          <w:rFonts w:hint="eastAsia"/>
          <w:sz w:val="24"/>
          <w:szCs w:val="24"/>
        </w:rPr>
        <w:t>和泉市附属機関に関する条例（昭和３２年条例第４３号）第１条第１号に規定する</w:t>
      </w:r>
      <w:r w:rsidR="00EA173C">
        <w:rPr>
          <w:rFonts w:hint="eastAsia"/>
          <w:sz w:val="24"/>
          <w:szCs w:val="24"/>
        </w:rPr>
        <w:t>和泉市障がい者施策推進協議会</w:t>
      </w:r>
      <w:r w:rsidR="005B2541">
        <w:rPr>
          <w:rFonts w:hint="eastAsia"/>
          <w:sz w:val="24"/>
          <w:szCs w:val="24"/>
        </w:rPr>
        <w:t>の意見を聴く</w:t>
      </w:r>
      <w:r w:rsidR="00EA173C">
        <w:rPr>
          <w:rFonts w:hint="eastAsia"/>
          <w:sz w:val="24"/>
          <w:szCs w:val="24"/>
        </w:rPr>
        <w:t>ものとする。</w:t>
      </w:r>
    </w:p>
    <w:p w14:paraId="7E3AA61A" w14:textId="2F17C7AB" w:rsidR="00E96751" w:rsidRDefault="00EA173C" w:rsidP="00E96751">
      <w:pPr>
        <w:ind w:left="240" w:hangingChars="100" w:hanging="240"/>
        <w:rPr>
          <w:sz w:val="24"/>
          <w:szCs w:val="24"/>
        </w:rPr>
      </w:pPr>
      <w:r>
        <w:rPr>
          <w:rFonts w:hint="eastAsia"/>
          <w:sz w:val="24"/>
          <w:szCs w:val="24"/>
        </w:rPr>
        <w:t xml:space="preserve">２　</w:t>
      </w:r>
      <w:r w:rsidR="00E96751" w:rsidRPr="00E96751">
        <w:rPr>
          <w:rFonts w:hint="eastAsia"/>
          <w:sz w:val="24"/>
          <w:szCs w:val="24"/>
        </w:rPr>
        <w:t>推進方針に基づく施策の実施のため必要があると認めるときは、障がい者、手話通訳者等</w:t>
      </w:r>
      <w:r w:rsidR="00D74D93">
        <w:rPr>
          <w:rFonts w:hint="eastAsia"/>
          <w:sz w:val="24"/>
          <w:szCs w:val="24"/>
        </w:rPr>
        <w:t>の</w:t>
      </w:r>
      <w:r w:rsidR="00E96751" w:rsidRPr="00E96751">
        <w:rPr>
          <w:rFonts w:hint="eastAsia"/>
          <w:sz w:val="24"/>
          <w:szCs w:val="24"/>
        </w:rPr>
        <w:t>コミュニケーションを支援する者その他関係者の意見を聴くものとする。</w:t>
      </w:r>
    </w:p>
    <w:p w14:paraId="5D9F62BE" w14:textId="730F58D0" w:rsidR="0043648D" w:rsidRDefault="0043648D" w:rsidP="00E96751">
      <w:pPr>
        <w:ind w:left="240" w:hangingChars="100" w:hanging="240"/>
        <w:rPr>
          <w:sz w:val="24"/>
          <w:szCs w:val="24"/>
        </w:rPr>
      </w:pPr>
      <w:r>
        <w:rPr>
          <w:rFonts w:hint="eastAsia"/>
          <w:sz w:val="24"/>
          <w:szCs w:val="24"/>
        </w:rPr>
        <w:t xml:space="preserve">　（財政上の措置）</w:t>
      </w:r>
    </w:p>
    <w:p w14:paraId="71296F4A" w14:textId="2ED9FD69" w:rsidR="0043648D" w:rsidRPr="00E96751" w:rsidRDefault="0043648D" w:rsidP="0043648D">
      <w:pPr>
        <w:ind w:left="240" w:hangingChars="100" w:hanging="240"/>
        <w:rPr>
          <w:sz w:val="24"/>
          <w:szCs w:val="24"/>
        </w:rPr>
      </w:pPr>
      <w:r>
        <w:rPr>
          <w:rFonts w:hint="eastAsia"/>
          <w:sz w:val="24"/>
          <w:szCs w:val="24"/>
        </w:rPr>
        <w:t>第９条</w:t>
      </w:r>
      <w:r w:rsidRPr="00E96751">
        <w:rPr>
          <w:rFonts w:hint="eastAsia"/>
          <w:sz w:val="24"/>
          <w:szCs w:val="24"/>
        </w:rPr>
        <w:t xml:space="preserve">　</w:t>
      </w:r>
      <w:r w:rsidRPr="00E96751">
        <w:rPr>
          <w:sz w:val="24"/>
          <w:szCs w:val="24"/>
        </w:rPr>
        <w:t>市は、この条例に関</w:t>
      </w:r>
      <w:r w:rsidRPr="00E96751">
        <w:rPr>
          <w:rFonts w:hint="eastAsia"/>
          <w:sz w:val="24"/>
          <w:szCs w:val="24"/>
        </w:rPr>
        <w:t>する</w:t>
      </w:r>
      <w:r w:rsidRPr="00E96751">
        <w:rPr>
          <w:sz w:val="24"/>
          <w:szCs w:val="24"/>
        </w:rPr>
        <w:t>施策を推進するため</w:t>
      </w:r>
      <w:r w:rsidRPr="00E96751">
        <w:rPr>
          <w:rFonts w:hint="eastAsia"/>
          <w:sz w:val="24"/>
          <w:szCs w:val="24"/>
        </w:rPr>
        <w:t>、</w:t>
      </w:r>
      <w:r w:rsidRPr="00E96751">
        <w:rPr>
          <w:sz w:val="24"/>
          <w:szCs w:val="24"/>
        </w:rPr>
        <w:t>必要な財政上の措置を</w:t>
      </w:r>
      <w:r w:rsidRPr="00E96751">
        <w:rPr>
          <w:rFonts w:hint="eastAsia"/>
          <w:sz w:val="24"/>
          <w:szCs w:val="24"/>
        </w:rPr>
        <w:t>講ずるよう努めるものとする。</w:t>
      </w:r>
    </w:p>
    <w:p w14:paraId="2B033320" w14:textId="77777777" w:rsidR="00E96751" w:rsidRPr="00E96751" w:rsidRDefault="00E96751" w:rsidP="00E96751">
      <w:pPr>
        <w:ind w:left="240" w:hangingChars="100" w:hanging="240"/>
        <w:rPr>
          <w:sz w:val="24"/>
          <w:szCs w:val="24"/>
        </w:rPr>
      </w:pPr>
      <w:r w:rsidRPr="00E96751">
        <w:rPr>
          <w:sz w:val="24"/>
          <w:szCs w:val="24"/>
        </w:rPr>
        <w:t xml:space="preserve">　</w:t>
      </w:r>
      <w:r w:rsidRPr="00E96751">
        <w:rPr>
          <w:rFonts w:hint="eastAsia"/>
          <w:sz w:val="24"/>
          <w:szCs w:val="24"/>
        </w:rPr>
        <w:t>（委任）</w:t>
      </w:r>
    </w:p>
    <w:p w14:paraId="34CD19E2" w14:textId="62123C81" w:rsidR="00E96751" w:rsidRPr="00E96751" w:rsidRDefault="00E96751" w:rsidP="00E96751">
      <w:pPr>
        <w:ind w:left="240" w:hangingChars="100" w:hanging="240"/>
        <w:rPr>
          <w:sz w:val="24"/>
          <w:szCs w:val="24"/>
        </w:rPr>
      </w:pPr>
      <w:r w:rsidRPr="00E96751">
        <w:rPr>
          <w:rFonts w:hint="eastAsia"/>
          <w:sz w:val="24"/>
          <w:szCs w:val="24"/>
        </w:rPr>
        <w:t>第</w:t>
      </w:r>
      <w:r w:rsidR="0043648D">
        <w:rPr>
          <w:rFonts w:hint="eastAsia"/>
          <w:sz w:val="24"/>
          <w:szCs w:val="24"/>
        </w:rPr>
        <w:t>１０</w:t>
      </w:r>
      <w:r w:rsidRPr="00E96751">
        <w:rPr>
          <w:rFonts w:hint="eastAsia"/>
          <w:sz w:val="24"/>
          <w:szCs w:val="24"/>
        </w:rPr>
        <w:t>条　この条例に定めるもののほか、この条例の施行に関し必要な事項は、市長が別に定める。</w:t>
      </w:r>
    </w:p>
    <w:p w14:paraId="3B66C2FA" w14:textId="77777777" w:rsidR="00E96751" w:rsidRDefault="00E96751" w:rsidP="00E96751">
      <w:pPr>
        <w:rPr>
          <w:sz w:val="24"/>
          <w:szCs w:val="24"/>
        </w:rPr>
      </w:pPr>
    </w:p>
    <w:p w14:paraId="61A9FE18" w14:textId="77777777" w:rsidR="00E96751" w:rsidRPr="00E96751" w:rsidRDefault="00E96751" w:rsidP="00E96751">
      <w:pPr>
        <w:rPr>
          <w:sz w:val="24"/>
          <w:szCs w:val="24"/>
        </w:rPr>
      </w:pPr>
    </w:p>
    <w:p w14:paraId="7052BC6C" w14:textId="77777777" w:rsidR="00E96751" w:rsidRPr="00E96751" w:rsidRDefault="00E96751" w:rsidP="00E96751">
      <w:pPr>
        <w:rPr>
          <w:sz w:val="24"/>
          <w:szCs w:val="24"/>
        </w:rPr>
      </w:pPr>
      <w:r w:rsidRPr="00E96751">
        <w:rPr>
          <w:rFonts w:hint="eastAsia"/>
          <w:sz w:val="24"/>
          <w:szCs w:val="24"/>
        </w:rPr>
        <w:t xml:space="preserve">　　　附　則</w:t>
      </w:r>
    </w:p>
    <w:p w14:paraId="31135FA4" w14:textId="19D96DDA" w:rsidR="00E96751" w:rsidRPr="00E96751" w:rsidRDefault="00E96751" w:rsidP="00E96751">
      <w:pPr>
        <w:rPr>
          <w:sz w:val="24"/>
          <w:szCs w:val="24"/>
        </w:rPr>
      </w:pPr>
      <w:r w:rsidRPr="00E96751">
        <w:rPr>
          <w:rFonts w:hint="eastAsia"/>
          <w:sz w:val="24"/>
          <w:szCs w:val="24"/>
        </w:rPr>
        <w:t xml:space="preserve">　この条例は、</w:t>
      </w:r>
      <w:r w:rsidR="00A068BD">
        <w:rPr>
          <w:rFonts w:hint="eastAsia"/>
          <w:sz w:val="24"/>
          <w:szCs w:val="24"/>
        </w:rPr>
        <w:t>公布の日</w:t>
      </w:r>
      <w:r w:rsidRPr="00E96751">
        <w:rPr>
          <w:rFonts w:hint="eastAsia"/>
          <w:sz w:val="24"/>
          <w:szCs w:val="24"/>
        </w:rPr>
        <w:t>から施行する。</w:t>
      </w:r>
    </w:p>
    <w:p w14:paraId="6AF57367" w14:textId="77777777" w:rsidR="00E96751" w:rsidRPr="00E96751" w:rsidRDefault="00E96751" w:rsidP="009542D7">
      <w:pPr>
        <w:jc w:val="left"/>
        <w:rPr>
          <w:sz w:val="24"/>
          <w:szCs w:val="24"/>
        </w:rPr>
      </w:pPr>
    </w:p>
    <w:p w14:paraId="4ED925EB" w14:textId="1032C5FD" w:rsidR="00E96751" w:rsidRPr="00E96751" w:rsidRDefault="003D6AC1" w:rsidP="00E96751">
      <w:pPr>
        <w:rPr>
          <w:sz w:val="24"/>
          <w:szCs w:val="24"/>
        </w:rPr>
      </w:pPr>
      <w:r w:rsidRPr="00E96751">
        <w:rPr>
          <w:rFonts w:hint="eastAsia"/>
          <w:sz w:val="24"/>
          <w:szCs w:val="24"/>
        </w:rPr>
        <w:t xml:space="preserve">　</w:t>
      </w:r>
    </w:p>
    <w:p w14:paraId="0D5DDDDC" w14:textId="43E9431F" w:rsidR="006061B7" w:rsidRPr="00E96751" w:rsidRDefault="006061B7" w:rsidP="001E7095">
      <w:pPr>
        <w:ind w:left="240" w:hangingChars="100" w:hanging="240"/>
        <w:rPr>
          <w:sz w:val="24"/>
          <w:szCs w:val="24"/>
        </w:rPr>
      </w:pPr>
    </w:p>
    <w:sectPr w:rsidR="006061B7" w:rsidRPr="00E96751" w:rsidSect="0099085E">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5F304D" w14:textId="77777777" w:rsidR="00EA4E5C" w:rsidRDefault="00EA4E5C" w:rsidP="008A4B67">
      <w:r>
        <w:separator/>
      </w:r>
    </w:p>
  </w:endnote>
  <w:endnote w:type="continuationSeparator" w:id="0">
    <w:p w14:paraId="1FBB2F28" w14:textId="77777777" w:rsidR="00EA4E5C" w:rsidRDefault="00EA4E5C" w:rsidP="008A4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529A8" w14:textId="77777777" w:rsidR="00EA4E5C" w:rsidRDefault="00EA4E5C" w:rsidP="008A4B67">
      <w:r>
        <w:separator/>
      </w:r>
    </w:p>
  </w:footnote>
  <w:footnote w:type="continuationSeparator" w:id="0">
    <w:p w14:paraId="44EB7364" w14:textId="77777777" w:rsidR="00EA4E5C" w:rsidRDefault="00EA4E5C" w:rsidP="008A4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203"/>
    <w:rsid w:val="000254EA"/>
    <w:rsid w:val="000421AF"/>
    <w:rsid w:val="00053CF5"/>
    <w:rsid w:val="0008063A"/>
    <w:rsid w:val="000919BA"/>
    <w:rsid w:val="000C03D0"/>
    <w:rsid w:val="000D2A21"/>
    <w:rsid w:val="00100495"/>
    <w:rsid w:val="001208EC"/>
    <w:rsid w:val="00131C3A"/>
    <w:rsid w:val="00151C27"/>
    <w:rsid w:val="001A3C8D"/>
    <w:rsid w:val="001C08F1"/>
    <w:rsid w:val="001C37FC"/>
    <w:rsid w:val="001E5F9D"/>
    <w:rsid w:val="001E7095"/>
    <w:rsid w:val="00216C1B"/>
    <w:rsid w:val="00294366"/>
    <w:rsid w:val="0029536F"/>
    <w:rsid w:val="002E2D37"/>
    <w:rsid w:val="002F7C77"/>
    <w:rsid w:val="00302775"/>
    <w:rsid w:val="00306EC4"/>
    <w:rsid w:val="00311FD3"/>
    <w:rsid w:val="00332279"/>
    <w:rsid w:val="00333252"/>
    <w:rsid w:val="0034016B"/>
    <w:rsid w:val="003564B2"/>
    <w:rsid w:val="00391473"/>
    <w:rsid w:val="003A3FDD"/>
    <w:rsid w:val="003D6AC1"/>
    <w:rsid w:val="003F7203"/>
    <w:rsid w:val="0043648D"/>
    <w:rsid w:val="00450034"/>
    <w:rsid w:val="00471502"/>
    <w:rsid w:val="00472B61"/>
    <w:rsid w:val="00473013"/>
    <w:rsid w:val="00484615"/>
    <w:rsid w:val="0049368E"/>
    <w:rsid w:val="004B13E6"/>
    <w:rsid w:val="004B4F1D"/>
    <w:rsid w:val="004E3711"/>
    <w:rsid w:val="004F0A4A"/>
    <w:rsid w:val="00534BEE"/>
    <w:rsid w:val="00542436"/>
    <w:rsid w:val="00561582"/>
    <w:rsid w:val="00584059"/>
    <w:rsid w:val="005A06CF"/>
    <w:rsid w:val="005B2541"/>
    <w:rsid w:val="005B2CDB"/>
    <w:rsid w:val="005D5979"/>
    <w:rsid w:val="005E3D45"/>
    <w:rsid w:val="006061B7"/>
    <w:rsid w:val="00614DDC"/>
    <w:rsid w:val="00643552"/>
    <w:rsid w:val="00657B8A"/>
    <w:rsid w:val="006C4CB3"/>
    <w:rsid w:val="006F70D0"/>
    <w:rsid w:val="00741801"/>
    <w:rsid w:val="007521B3"/>
    <w:rsid w:val="0075321E"/>
    <w:rsid w:val="00760497"/>
    <w:rsid w:val="007754F2"/>
    <w:rsid w:val="007A3EED"/>
    <w:rsid w:val="007B0134"/>
    <w:rsid w:val="007C6098"/>
    <w:rsid w:val="007D2FCE"/>
    <w:rsid w:val="007D7426"/>
    <w:rsid w:val="008531CF"/>
    <w:rsid w:val="00890E96"/>
    <w:rsid w:val="008A1964"/>
    <w:rsid w:val="008A4B67"/>
    <w:rsid w:val="008A5F2E"/>
    <w:rsid w:val="008B2048"/>
    <w:rsid w:val="008D7B1E"/>
    <w:rsid w:val="00901FB5"/>
    <w:rsid w:val="00940887"/>
    <w:rsid w:val="009513F8"/>
    <w:rsid w:val="009542D7"/>
    <w:rsid w:val="00970F89"/>
    <w:rsid w:val="00974415"/>
    <w:rsid w:val="00981752"/>
    <w:rsid w:val="0099085E"/>
    <w:rsid w:val="009A127B"/>
    <w:rsid w:val="009C1DFB"/>
    <w:rsid w:val="009C577B"/>
    <w:rsid w:val="009E3FF2"/>
    <w:rsid w:val="00A068BD"/>
    <w:rsid w:val="00A21017"/>
    <w:rsid w:val="00A50E14"/>
    <w:rsid w:val="00AA158D"/>
    <w:rsid w:val="00B55142"/>
    <w:rsid w:val="00B56058"/>
    <w:rsid w:val="00B702E5"/>
    <w:rsid w:val="00B803C9"/>
    <w:rsid w:val="00BA7F1B"/>
    <w:rsid w:val="00BC0A4D"/>
    <w:rsid w:val="00BC33A5"/>
    <w:rsid w:val="00BD60A0"/>
    <w:rsid w:val="00BF6236"/>
    <w:rsid w:val="00C343FB"/>
    <w:rsid w:val="00C62530"/>
    <w:rsid w:val="00C76BB8"/>
    <w:rsid w:val="00C87DB1"/>
    <w:rsid w:val="00CC32C7"/>
    <w:rsid w:val="00CD3416"/>
    <w:rsid w:val="00D0145C"/>
    <w:rsid w:val="00D23365"/>
    <w:rsid w:val="00D566E4"/>
    <w:rsid w:val="00D6796B"/>
    <w:rsid w:val="00D74D93"/>
    <w:rsid w:val="00D966A9"/>
    <w:rsid w:val="00DC5493"/>
    <w:rsid w:val="00DC753C"/>
    <w:rsid w:val="00DD30F2"/>
    <w:rsid w:val="00DE3B0E"/>
    <w:rsid w:val="00DF3729"/>
    <w:rsid w:val="00DF7A51"/>
    <w:rsid w:val="00E22E2E"/>
    <w:rsid w:val="00E37CE5"/>
    <w:rsid w:val="00E37F69"/>
    <w:rsid w:val="00E547B0"/>
    <w:rsid w:val="00E96751"/>
    <w:rsid w:val="00EA173C"/>
    <w:rsid w:val="00EA4E5C"/>
    <w:rsid w:val="00EB267D"/>
    <w:rsid w:val="00EB383E"/>
    <w:rsid w:val="00EB6615"/>
    <w:rsid w:val="00ED3F51"/>
    <w:rsid w:val="00EF3436"/>
    <w:rsid w:val="00F2137A"/>
    <w:rsid w:val="00F7105E"/>
    <w:rsid w:val="00FA1494"/>
    <w:rsid w:val="00FF5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7E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F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F89"/>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D2A21"/>
    <w:rPr>
      <w:sz w:val="18"/>
      <w:szCs w:val="18"/>
    </w:rPr>
  </w:style>
  <w:style w:type="paragraph" w:styleId="a6">
    <w:name w:val="annotation text"/>
    <w:basedOn w:val="a"/>
    <w:link w:val="a7"/>
    <w:uiPriority w:val="99"/>
    <w:semiHidden/>
    <w:unhideWhenUsed/>
    <w:rsid w:val="000D2A21"/>
    <w:pPr>
      <w:jc w:val="left"/>
    </w:pPr>
  </w:style>
  <w:style w:type="character" w:customStyle="1" w:styleId="a7">
    <w:name w:val="コメント文字列 (文字)"/>
    <w:basedOn w:val="a0"/>
    <w:link w:val="a6"/>
    <w:uiPriority w:val="99"/>
    <w:semiHidden/>
    <w:rsid w:val="000D2A21"/>
  </w:style>
  <w:style w:type="paragraph" w:styleId="a8">
    <w:name w:val="annotation subject"/>
    <w:basedOn w:val="a6"/>
    <w:next w:val="a6"/>
    <w:link w:val="a9"/>
    <w:uiPriority w:val="99"/>
    <w:semiHidden/>
    <w:unhideWhenUsed/>
    <w:rsid w:val="000D2A21"/>
    <w:rPr>
      <w:b/>
      <w:bCs/>
    </w:rPr>
  </w:style>
  <w:style w:type="character" w:customStyle="1" w:styleId="a9">
    <w:name w:val="コメント内容 (文字)"/>
    <w:basedOn w:val="a7"/>
    <w:link w:val="a8"/>
    <w:uiPriority w:val="99"/>
    <w:semiHidden/>
    <w:rsid w:val="000D2A21"/>
    <w:rPr>
      <w:b/>
      <w:bCs/>
    </w:rPr>
  </w:style>
  <w:style w:type="paragraph" w:styleId="aa">
    <w:name w:val="header"/>
    <w:basedOn w:val="a"/>
    <w:link w:val="ab"/>
    <w:uiPriority w:val="99"/>
    <w:unhideWhenUsed/>
    <w:rsid w:val="008A4B67"/>
    <w:pPr>
      <w:tabs>
        <w:tab w:val="center" w:pos="4252"/>
        <w:tab w:val="right" w:pos="8504"/>
      </w:tabs>
      <w:snapToGrid w:val="0"/>
    </w:pPr>
  </w:style>
  <w:style w:type="character" w:customStyle="1" w:styleId="ab">
    <w:name w:val="ヘッダー (文字)"/>
    <w:basedOn w:val="a0"/>
    <w:link w:val="aa"/>
    <w:uiPriority w:val="99"/>
    <w:rsid w:val="008A4B67"/>
  </w:style>
  <w:style w:type="paragraph" w:styleId="ac">
    <w:name w:val="footer"/>
    <w:basedOn w:val="a"/>
    <w:link w:val="ad"/>
    <w:uiPriority w:val="99"/>
    <w:unhideWhenUsed/>
    <w:rsid w:val="008A4B67"/>
    <w:pPr>
      <w:tabs>
        <w:tab w:val="center" w:pos="4252"/>
        <w:tab w:val="right" w:pos="8504"/>
      </w:tabs>
      <w:snapToGrid w:val="0"/>
    </w:pPr>
  </w:style>
  <w:style w:type="character" w:customStyle="1" w:styleId="ad">
    <w:name w:val="フッター (文字)"/>
    <w:basedOn w:val="a0"/>
    <w:link w:val="ac"/>
    <w:uiPriority w:val="99"/>
    <w:rsid w:val="008A4B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0F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0F89"/>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D2A21"/>
    <w:rPr>
      <w:sz w:val="18"/>
      <w:szCs w:val="18"/>
    </w:rPr>
  </w:style>
  <w:style w:type="paragraph" w:styleId="a6">
    <w:name w:val="annotation text"/>
    <w:basedOn w:val="a"/>
    <w:link w:val="a7"/>
    <w:uiPriority w:val="99"/>
    <w:semiHidden/>
    <w:unhideWhenUsed/>
    <w:rsid w:val="000D2A21"/>
    <w:pPr>
      <w:jc w:val="left"/>
    </w:pPr>
  </w:style>
  <w:style w:type="character" w:customStyle="1" w:styleId="a7">
    <w:name w:val="コメント文字列 (文字)"/>
    <w:basedOn w:val="a0"/>
    <w:link w:val="a6"/>
    <w:uiPriority w:val="99"/>
    <w:semiHidden/>
    <w:rsid w:val="000D2A21"/>
  </w:style>
  <w:style w:type="paragraph" w:styleId="a8">
    <w:name w:val="annotation subject"/>
    <w:basedOn w:val="a6"/>
    <w:next w:val="a6"/>
    <w:link w:val="a9"/>
    <w:uiPriority w:val="99"/>
    <w:semiHidden/>
    <w:unhideWhenUsed/>
    <w:rsid w:val="000D2A21"/>
    <w:rPr>
      <w:b/>
      <w:bCs/>
    </w:rPr>
  </w:style>
  <w:style w:type="character" w:customStyle="1" w:styleId="a9">
    <w:name w:val="コメント内容 (文字)"/>
    <w:basedOn w:val="a7"/>
    <w:link w:val="a8"/>
    <w:uiPriority w:val="99"/>
    <w:semiHidden/>
    <w:rsid w:val="000D2A21"/>
    <w:rPr>
      <w:b/>
      <w:bCs/>
    </w:rPr>
  </w:style>
  <w:style w:type="paragraph" w:styleId="aa">
    <w:name w:val="header"/>
    <w:basedOn w:val="a"/>
    <w:link w:val="ab"/>
    <w:uiPriority w:val="99"/>
    <w:unhideWhenUsed/>
    <w:rsid w:val="008A4B67"/>
    <w:pPr>
      <w:tabs>
        <w:tab w:val="center" w:pos="4252"/>
        <w:tab w:val="right" w:pos="8504"/>
      </w:tabs>
      <w:snapToGrid w:val="0"/>
    </w:pPr>
  </w:style>
  <w:style w:type="character" w:customStyle="1" w:styleId="ab">
    <w:name w:val="ヘッダー (文字)"/>
    <w:basedOn w:val="a0"/>
    <w:link w:val="aa"/>
    <w:uiPriority w:val="99"/>
    <w:rsid w:val="008A4B67"/>
  </w:style>
  <w:style w:type="paragraph" w:styleId="ac">
    <w:name w:val="footer"/>
    <w:basedOn w:val="a"/>
    <w:link w:val="ad"/>
    <w:uiPriority w:val="99"/>
    <w:unhideWhenUsed/>
    <w:rsid w:val="008A4B67"/>
    <w:pPr>
      <w:tabs>
        <w:tab w:val="center" w:pos="4252"/>
        <w:tab w:val="right" w:pos="8504"/>
      </w:tabs>
      <w:snapToGrid w:val="0"/>
    </w:pPr>
  </w:style>
  <w:style w:type="character" w:customStyle="1" w:styleId="ad">
    <w:name w:val="フッター (文字)"/>
    <w:basedOn w:val="a0"/>
    <w:link w:val="ac"/>
    <w:uiPriority w:val="99"/>
    <w:rsid w:val="008A4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803778">
      <w:bodyDiv w:val="1"/>
      <w:marLeft w:val="0"/>
      <w:marRight w:val="0"/>
      <w:marTop w:val="0"/>
      <w:marBottom w:val="0"/>
      <w:divBdr>
        <w:top w:val="none" w:sz="0" w:space="0" w:color="auto"/>
        <w:left w:val="none" w:sz="0" w:space="0" w:color="auto"/>
        <w:bottom w:val="none" w:sz="0" w:space="0" w:color="auto"/>
        <w:right w:val="none" w:sz="0" w:space="0" w:color="auto"/>
      </w:divBdr>
      <w:divsChild>
        <w:div w:id="1492478333">
          <w:marLeft w:val="0"/>
          <w:marRight w:val="0"/>
          <w:marTop w:val="0"/>
          <w:marBottom w:val="0"/>
          <w:divBdr>
            <w:top w:val="none" w:sz="0" w:space="0" w:color="auto"/>
            <w:left w:val="none" w:sz="0" w:space="0" w:color="auto"/>
            <w:bottom w:val="none" w:sz="0" w:space="0" w:color="auto"/>
            <w:right w:val="none" w:sz="0" w:space="0" w:color="auto"/>
          </w:divBdr>
          <w:divsChild>
            <w:div w:id="1326934416">
              <w:marLeft w:val="0"/>
              <w:marRight w:val="0"/>
              <w:marTop w:val="0"/>
              <w:marBottom w:val="0"/>
              <w:divBdr>
                <w:top w:val="none" w:sz="0" w:space="0" w:color="auto"/>
                <w:left w:val="none" w:sz="0" w:space="0" w:color="auto"/>
                <w:bottom w:val="none" w:sz="0" w:space="0" w:color="auto"/>
                <w:right w:val="none" w:sz="0" w:space="0" w:color="auto"/>
              </w:divBdr>
              <w:divsChild>
                <w:div w:id="8418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B1EA0-9A53-4E6C-AA4D-3B58FD42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393</Words>
  <Characters>2243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LG38793</dc:creator>
  <cp:lastModifiedBy>LG38793</cp:lastModifiedBy>
  <cp:revision>6</cp:revision>
  <cp:lastPrinted>2018-08-07T02:52:00Z</cp:lastPrinted>
  <dcterms:created xsi:type="dcterms:W3CDTF">2018-12-03T02:28:00Z</dcterms:created>
  <dcterms:modified xsi:type="dcterms:W3CDTF">2019-04-03T02:15:00Z</dcterms:modified>
</cp:coreProperties>
</file>