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49F" w:rsidRPr="00D92066" w:rsidRDefault="0030549F">
      <w:pPr>
        <w:jc w:val="right"/>
        <w:rPr>
          <w:sz w:val="24"/>
        </w:rPr>
      </w:pPr>
    </w:p>
    <w:p w:rsidR="0030549F" w:rsidRPr="00D92066" w:rsidRDefault="0030549F">
      <w:pPr>
        <w:jc w:val="center"/>
        <w:rPr>
          <w:sz w:val="24"/>
        </w:rPr>
      </w:pPr>
      <w:r w:rsidRPr="00D92066">
        <w:rPr>
          <w:rFonts w:hint="eastAsia"/>
          <w:sz w:val="24"/>
        </w:rPr>
        <w:t>和泉市建設工事等における郵便入札</w:t>
      </w:r>
      <w:r w:rsidR="001271DF" w:rsidRPr="00D92066">
        <w:rPr>
          <w:rFonts w:hint="eastAsia"/>
          <w:sz w:val="24"/>
        </w:rPr>
        <w:t>実施</w:t>
      </w:r>
      <w:r w:rsidRPr="00D92066">
        <w:rPr>
          <w:rFonts w:hint="eastAsia"/>
          <w:sz w:val="24"/>
        </w:rPr>
        <w:t>要綱（平成１９年８月２１日制定）</w:t>
      </w:r>
    </w:p>
    <w:p w:rsidR="0030549F" w:rsidRPr="00D92066" w:rsidRDefault="0030549F">
      <w:pPr>
        <w:ind w:firstLineChars="300" w:firstLine="720"/>
        <w:rPr>
          <w:sz w:val="24"/>
        </w:rPr>
      </w:pPr>
    </w:p>
    <w:p w:rsidR="0030549F" w:rsidRPr="00D92066" w:rsidRDefault="0030549F">
      <w:pPr>
        <w:ind w:firstLineChars="100" w:firstLine="240"/>
        <w:rPr>
          <w:sz w:val="24"/>
        </w:rPr>
      </w:pPr>
      <w:r w:rsidRPr="00D92066">
        <w:rPr>
          <w:rFonts w:hint="eastAsia"/>
          <w:sz w:val="24"/>
        </w:rPr>
        <w:t>（趣旨）</w:t>
      </w:r>
    </w:p>
    <w:p w:rsidR="0030549F" w:rsidRPr="00342EC2" w:rsidRDefault="009610F4" w:rsidP="009610F4">
      <w:pPr>
        <w:ind w:left="240" w:hangingChars="100" w:hanging="240"/>
        <w:rPr>
          <w:sz w:val="24"/>
        </w:rPr>
      </w:pPr>
      <w:r w:rsidRPr="00D92066">
        <w:rPr>
          <w:rFonts w:hint="eastAsia"/>
          <w:sz w:val="24"/>
        </w:rPr>
        <w:t>第</w:t>
      </w:r>
      <w:r>
        <w:rPr>
          <w:rFonts w:hint="eastAsia"/>
          <w:sz w:val="24"/>
        </w:rPr>
        <w:t>１</w:t>
      </w:r>
      <w:r w:rsidRPr="00D92066">
        <w:rPr>
          <w:rFonts w:hint="eastAsia"/>
          <w:sz w:val="24"/>
        </w:rPr>
        <w:t xml:space="preserve">条　</w:t>
      </w:r>
      <w:r w:rsidR="0030549F" w:rsidRPr="00D92066">
        <w:rPr>
          <w:rFonts w:hint="eastAsia"/>
          <w:sz w:val="24"/>
        </w:rPr>
        <w:t>この要綱は、市が発注</w:t>
      </w:r>
      <w:r w:rsidR="0030549F" w:rsidRPr="00342EC2">
        <w:rPr>
          <w:rFonts w:hint="eastAsia"/>
          <w:sz w:val="24"/>
        </w:rPr>
        <w:t>する建設工事等において、入札・契約制度の透明性・公平性・競争性の確保と入札参加者の負担軽減を図るために</w:t>
      </w:r>
      <w:r w:rsidR="001271DF" w:rsidRPr="00342EC2">
        <w:rPr>
          <w:rFonts w:hint="eastAsia"/>
          <w:sz w:val="24"/>
        </w:rPr>
        <w:t>実施</w:t>
      </w:r>
      <w:r w:rsidR="0030549F" w:rsidRPr="00342EC2">
        <w:rPr>
          <w:rFonts w:hint="eastAsia"/>
          <w:sz w:val="24"/>
        </w:rPr>
        <w:t>する郵便入札について、必要な事項を定めるものとする。</w:t>
      </w:r>
    </w:p>
    <w:p w:rsidR="009610F4" w:rsidRPr="00342EC2" w:rsidRDefault="0030549F" w:rsidP="009610F4">
      <w:pPr>
        <w:ind w:leftChars="114" w:left="239"/>
        <w:rPr>
          <w:sz w:val="24"/>
        </w:rPr>
      </w:pPr>
      <w:r w:rsidRPr="00342EC2">
        <w:rPr>
          <w:rFonts w:hint="eastAsia"/>
          <w:sz w:val="24"/>
        </w:rPr>
        <w:t>（対象となる建設工事等）</w:t>
      </w:r>
    </w:p>
    <w:p w:rsidR="0030549F" w:rsidRPr="00342EC2" w:rsidRDefault="009610F4" w:rsidP="009610F4">
      <w:pPr>
        <w:ind w:left="240" w:hangingChars="100" w:hanging="240"/>
        <w:rPr>
          <w:sz w:val="24"/>
        </w:rPr>
      </w:pPr>
      <w:r w:rsidRPr="00342EC2">
        <w:rPr>
          <w:rFonts w:hint="eastAsia"/>
          <w:sz w:val="24"/>
        </w:rPr>
        <w:t xml:space="preserve">第２条　</w:t>
      </w:r>
      <w:r w:rsidR="0030549F" w:rsidRPr="00342EC2">
        <w:rPr>
          <w:rFonts w:hint="eastAsia"/>
          <w:sz w:val="24"/>
        </w:rPr>
        <w:t>郵便入札の対象となる建設工事等は、次のとおりとする。</w:t>
      </w:r>
    </w:p>
    <w:p w:rsidR="0030549F" w:rsidRPr="00342EC2" w:rsidRDefault="0047726E" w:rsidP="0047726E">
      <w:pPr>
        <w:ind w:left="480" w:hangingChars="200" w:hanging="480"/>
        <w:jc w:val="left"/>
        <w:rPr>
          <w:sz w:val="24"/>
        </w:rPr>
      </w:pPr>
      <w:r w:rsidRPr="00342EC2">
        <w:rPr>
          <w:rFonts w:hint="eastAsia"/>
          <w:sz w:val="24"/>
        </w:rPr>
        <w:t>（１）</w:t>
      </w:r>
      <w:r w:rsidR="0030549F" w:rsidRPr="00342EC2">
        <w:rPr>
          <w:rFonts w:hint="eastAsia"/>
          <w:sz w:val="24"/>
        </w:rPr>
        <w:t>制限付一般競争入札に付する工事</w:t>
      </w:r>
    </w:p>
    <w:p w:rsidR="00EB0D58" w:rsidRPr="00342EC2" w:rsidRDefault="0047726E" w:rsidP="0047726E">
      <w:pPr>
        <w:ind w:left="480" w:hangingChars="200" w:hanging="480"/>
        <w:jc w:val="left"/>
        <w:rPr>
          <w:sz w:val="24"/>
        </w:rPr>
      </w:pPr>
      <w:r w:rsidRPr="00342EC2">
        <w:rPr>
          <w:rFonts w:hint="eastAsia"/>
          <w:sz w:val="24"/>
        </w:rPr>
        <w:t>（２）</w:t>
      </w:r>
      <w:r w:rsidR="00EB0D58" w:rsidRPr="00342EC2">
        <w:rPr>
          <w:rFonts w:hint="eastAsia"/>
          <w:sz w:val="24"/>
        </w:rPr>
        <w:t>公募型指名競争入札に付する工事</w:t>
      </w:r>
      <w:r w:rsidR="001E5709" w:rsidRPr="00342EC2">
        <w:rPr>
          <w:rFonts w:hint="eastAsia"/>
          <w:sz w:val="24"/>
        </w:rPr>
        <w:t>（ただ</w:t>
      </w:r>
      <w:r w:rsidR="00EB0D58" w:rsidRPr="00342EC2">
        <w:rPr>
          <w:rFonts w:hint="eastAsia"/>
          <w:sz w:val="24"/>
        </w:rPr>
        <w:t>し、電子入札システムにより入札を行う場合は除く。）</w:t>
      </w:r>
    </w:p>
    <w:p w:rsidR="0030549F" w:rsidRPr="00342EC2" w:rsidRDefault="0047726E" w:rsidP="0047726E">
      <w:pPr>
        <w:ind w:left="480" w:hangingChars="200" w:hanging="480"/>
        <w:jc w:val="left"/>
        <w:rPr>
          <w:sz w:val="24"/>
        </w:rPr>
      </w:pPr>
      <w:r w:rsidRPr="00342EC2">
        <w:rPr>
          <w:rFonts w:hint="eastAsia"/>
          <w:sz w:val="24"/>
        </w:rPr>
        <w:t>（３）</w:t>
      </w:r>
      <w:r w:rsidR="0030549F" w:rsidRPr="00342EC2">
        <w:rPr>
          <w:rFonts w:hint="eastAsia"/>
          <w:sz w:val="24"/>
        </w:rPr>
        <w:t>設計金額３０万円を超える業務委託のうち、指名通知等において「郵便による入札」として指定する業務委託</w:t>
      </w:r>
      <w:r w:rsidRPr="00342EC2">
        <w:rPr>
          <w:rFonts w:hint="eastAsia"/>
          <w:sz w:val="24"/>
        </w:rPr>
        <w:t>（ただし、電子入札システムにより入札を行う場合は除く。）</w:t>
      </w:r>
    </w:p>
    <w:p w:rsidR="00AA46C7" w:rsidRPr="00342EC2" w:rsidRDefault="00AA46C7" w:rsidP="0047726E">
      <w:pPr>
        <w:ind w:left="480" w:hangingChars="200" w:hanging="480"/>
        <w:jc w:val="left"/>
        <w:rPr>
          <w:sz w:val="24"/>
        </w:rPr>
      </w:pPr>
      <w:r w:rsidRPr="00342EC2">
        <w:rPr>
          <w:rFonts w:hint="eastAsia"/>
          <w:sz w:val="24"/>
        </w:rPr>
        <w:t>（４）前３号のほか、市が指名通知等において「郵便による入札」として指定するもの</w:t>
      </w:r>
    </w:p>
    <w:p w:rsidR="0047726E" w:rsidRPr="00342EC2" w:rsidRDefault="0047726E" w:rsidP="0047726E">
      <w:pPr>
        <w:ind w:firstLineChars="100" w:firstLine="240"/>
        <w:rPr>
          <w:sz w:val="24"/>
        </w:rPr>
      </w:pPr>
      <w:r w:rsidRPr="00342EC2">
        <w:rPr>
          <w:rFonts w:hint="eastAsia"/>
          <w:sz w:val="24"/>
        </w:rPr>
        <w:t>（入札書等の郵送方法）</w:t>
      </w:r>
    </w:p>
    <w:p w:rsidR="0030549F" w:rsidRPr="00342EC2" w:rsidRDefault="00A132B9">
      <w:pPr>
        <w:ind w:left="240" w:hangingChars="100" w:hanging="240"/>
        <w:rPr>
          <w:sz w:val="24"/>
        </w:rPr>
      </w:pPr>
      <w:r w:rsidRPr="00342EC2">
        <w:rPr>
          <w:rFonts w:hint="eastAsia"/>
          <w:sz w:val="24"/>
        </w:rPr>
        <w:t>第３条　入札参加者は、入札書及び積算内訳書</w:t>
      </w:r>
      <w:r w:rsidR="008B06C2" w:rsidRPr="00342EC2">
        <w:rPr>
          <w:rFonts w:hint="eastAsia"/>
          <w:sz w:val="24"/>
        </w:rPr>
        <w:t>（</w:t>
      </w:r>
      <w:r w:rsidRPr="00342EC2">
        <w:rPr>
          <w:rFonts w:hint="eastAsia"/>
          <w:sz w:val="24"/>
        </w:rPr>
        <w:t>建設工事</w:t>
      </w:r>
      <w:r w:rsidR="00CD636E" w:rsidRPr="00342EC2">
        <w:rPr>
          <w:rFonts w:hint="eastAsia"/>
          <w:sz w:val="24"/>
        </w:rPr>
        <w:t>又は積算内訳書の提出を求められた入札</w:t>
      </w:r>
      <w:r w:rsidRPr="00342EC2">
        <w:rPr>
          <w:rFonts w:hint="eastAsia"/>
          <w:sz w:val="24"/>
        </w:rPr>
        <w:t>に限る。</w:t>
      </w:r>
      <w:r w:rsidR="0030549F" w:rsidRPr="00342EC2">
        <w:rPr>
          <w:rFonts w:hint="eastAsia"/>
          <w:sz w:val="24"/>
        </w:rPr>
        <w:t>以下「入札書等」という。）を次項及び第３項に規定する方法</w:t>
      </w:r>
      <w:r w:rsidR="001271DF" w:rsidRPr="00342EC2">
        <w:rPr>
          <w:rFonts w:hint="eastAsia"/>
          <w:sz w:val="24"/>
        </w:rPr>
        <w:t>により、あらかじめ指定する日（以下「配達指定日」という。）に</w:t>
      </w:r>
      <w:r w:rsidR="008F582F" w:rsidRPr="00342EC2">
        <w:rPr>
          <w:rFonts w:hint="eastAsia"/>
          <w:sz w:val="24"/>
        </w:rPr>
        <w:t>入札</w:t>
      </w:r>
      <w:r w:rsidR="00AB0621" w:rsidRPr="00342EC2">
        <w:rPr>
          <w:rFonts w:hint="eastAsia"/>
          <w:sz w:val="24"/>
        </w:rPr>
        <w:t>担当</w:t>
      </w:r>
      <w:r w:rsidR="008F582F" w:rsidRPr="00342EC2">
        <w:rPr>
          <w:rFonts w:hint="eastAsia"/>
          <w:sz w:val="24"/>
        </w:rPr>
        <w:t>課</w:t>
      </w:r>
      <w:r w:rsidR="0030549F" w:rsidRPr="00342EC2">
        <w:rPr>
          <w:rFonts w:hint="eastAsia"/>
          <w:sz w:val="24"/>
        </w:rPr>
        <w:t>に到達するように郵送しなければならない。</w:t>
      </w:r>
    </w:p>
    <w:p w:rsidR="0030549F" w:rsidRPr="00342EC2" w:rsidRDefault="00DF49C2">
      <w:pPr>
        <w:ind w:left="240" w:hangingChars="100" w:hanging="240"/>
        <w:rPr>
          <w:sz w:val="24"/>
        </w:rPr>
      </w:pPr>
      <w:r w:rsidRPr="00342EC2">
        <w:rPr>
          <w:rFonts w:hint="eastAsia"/>
          <w:sz w:val="24"/>
        </w:rPr>
        <w:t>２　入札書等を郵送する際は、所定の事項をすべて記入し、</w:t>
      </w:r>
      <w:r w:rsidR="00CD636E" w:rsidRPr="00342EC2">
        <w:rPr>
          <w:rFonts w:hint="eastAsia"/>
          <w:sz w:val="24"/>
        </w:rPr>
        <w:t>本市へ登録の使用印又は実印（以下「</w:t>
      </w:r>
      <w:r w:rsidRPr="00342EC2">
        <w:rPr>
          <w:rFonts w:hint="eastAsia"/>
          <w:sz w:val="24"/>
        </w:rPr>
        <w:t>登録印</w:t>
      </w:r>
      <w:r w:rsidR="00CD636E" w:rsidRPr="00342EC2">
        <w:rPr>
          <w:rFonts w:hint="eastAsia"/>
          <w:sz w:val="24"/>
        </w:rPr>
        <w:t>」という。）</w:t>
      </w:r>
      <w:r w:rsidRPr="00342EC2">
        <w:rPr>
          <w:rFonts w:hint="eastAsia"/>
          <w:sz w:val="24"/>
        </w:rPr>
        <w:t>を</w:t>
      </w:r>
      <w:r w:rsidR="0030549F" w:rsidRPr="00342EC2">
        <w:rPr>
          <w:rFonts w:hint="eastAsia"/>
          <w:sz w:val="24"/>
        </w:rPr>
        <w:t>押印した上で、配達日指定郵便</w:t>
      </w:r>
      <w:r w:rsidR="001271DF" w:rsidRPr="00342EC2">
        <w:rPr>
          <w:rFonts w:hint="eastAsia"/>
          <w:sz w:val="24"/>
        </w:rPr>
        <w:t>又は配達時間帯指定郵便（配達時間帯</w:t>
      </w:r>
      <w:r w:rsidR="008B06C2" w:rsidRPr="00342EC2">
        <w:rPr>
          <w:rFonts w:hint="eastAsia"/>
          <w:sz w:val="24"/>
        </w:rPr>
        <w:t>の区分</w:t>
      </w:r>
      <w:r w:rsidR="001271DF" w:rsidRPr="00342EC2">
        <w:rPr>
          <w:rFonts w:hint="eastAsia"/>
          <w:sz w:val="24"/>
        </w:rPr>
        <w:t>が午前</w:t>
      </w:r>
      <w:r w:rsidR="00A132B9" w:rsidRPr="00342EC2">
        <w:rPr>
          <w:rFonts w:hint="eastAsia"/>
          <w:sz w:val="24"/>
        </w:rPr>
        <w:t>８時から午前１２時まで</w:t>
      </w:r>
      <w:r w:rsidR="001271DF" w:rsidRPr="00342EC2">
        <w:rPr>
          <w:rFonts w:hint="eastAsia"/>
          <w:sz w:val="24"/>
        </w:rPr>
        <w:t>に限る。）</w:t>
      </w:r>
      <w:r w:rsidR="0030549F" w:rsidRPr="00342EC2">
        <w:rPr>
          <w:rFonts w:hint="eastAsia"/>
          <w:sz w:val="24"/>
        </w:rPr>
        <w:t>により、一般書留又は簡易書留のいずれかの方法で郵送しなければならない。ただし、郵送料は入札参加者の負担とする。</w:t>
      </w:r>
    </w:p>
    <w:p w:rsidR="0030549F" w:rsidRPr="00342EC2" w:rsidRDefault="0030549F">
      <w:pPr>
        <w:ind w:left="240" w:hangingChars="100" w:hanging="240"/>
        <w:rPr>
          <w:sz w:val="24"/>
        </w:rPr>
      </w:pPr>
      <w:r w:rsidRPr="00342EC2">
        <w:rPr>
          <w:rFonts w:hint="eastAsia"/>
          <w:sz w:val="24"/>
        </w:rPr>
        <w:t>３　前項の規定による郵送は、</w:t>
      </w:r>
      <w:r w:rsidR="00CD3EEC" w:rsidRPr="00342EC2">
        <w:rPr>
          <w:rFonts w:hint="eastAsia"/>
          <w:sz w:val="24"/>
        </w:rPr>
        <w:t>別紙１にさだめる</w:t>
      </w:r>
      <w:r w:rsidRPr="00342EC2">
        <w:rPr>
          <w:rFonts w:hint="eastAsia"/>
          <w:sz w:val="24"/>
        </w:rPr>
        <w:t>入札書等郵送用指定封筒</w:t>
      </w:r>
      <w:r w:rsidR="00621921" w:rsidRPr="00342EC2">
        <w:rPr>
          <w:rFonts w:hint="eastAsia"/>
          <w:sz w:val="24"/>
        </w:rPr>
        <w:t>（以下「指定封筒」という。）</w:t>
      </w:r>
      <w:r w:rsidRPr="00342EC2">
        <w:rPr>
          <w:rFonts w:hint="eastAsia"/>
          <w:sz w:val="24"/>
        </w:rPr>
        <w:t>で郵送しなければならない。</w:t>
      </w:r>
    </w:p>
    <w:p w:rsidR="0030549F" w:rsidRPr="00342EC2" w:rsidRDefault="0030549F">
      <w:pPr>
        <w:ind w:leftChars="114" w:left="719" w:hangingChars="200" w:hanging="480"/>
        <w:rPr>
          <w:sz w:val="24"/>
        </w:rPr>
      </w:pPr>
      <w:r w:rsidRPr="00342EC2">
        <w:rPr>
          <w:rFonts w:hint="eastAsia"/>
          <w:sz w:val="24"/>
        </w:rPr>
        <w:t>（入札書の保管等）</w:t>
      </w:r>
    </w:p>
    <w:p w:rsidR="0030549F" w:rsidRPr="00342EC2" w:rsidRDefault="0030549F">
      <w:pPr>
        <w:ind w:left="720" w:hangingChars="300" w:hanging="720"/>
        <w:rPr>
          <w:sz w:val="24"/>
        </w:rPr>
      </w:pPr>
      <w:r w:rsidRPr="00342EC2">
        <w:rPr>
          <w:rFonts w:hint="eastAsia"/>
          <w:sz w:val="24"/>
        </w:rPr>
        <w:t>第４条　市長は、前条の規定により入札書等が</w:t>
      </w:r>
      <w:r w:rsidR="008F582F" w:rsidRPr="00342EC2">
        <w:rPr>
          <w:rFonts w:hint="eastAsia"/>
          <w:sz w:val="24"/>
        </w:rPr>
        <w:t>入札</w:t>
      </w:r>
      <w:r w:rsidRPr="00342EC2">
        <w:rPr>
          <w:rFonts w:hint="eastAsia"/>
          <w:sz w:val="24"/>
        </w:rPr>
        <w:t>担当</w:t>
      </w:r>
      <w:r w:rsidR="008F582F" w:rsidRPr="00342EC2">
        <w:rPr>
          <w:rFonts w:hint="eastAsia"/>
          <w:sz w:val="24"/>
        </w:rPr>
        <w:t>課</w:t>
      </w:r>
      <w:r w:rsidRPr="00342EC2">
        <w:rPr>
          <w:rFonts w:hint="eastAsia"/>
          <w:sz w:val="24"/>
        </w:rPr>
        <w:t>に到達したときは、</w:t>
      </w:r>
    </w:p>
    <w:p w:rsidR="0030549F" w:rsidRPr="00342EC2" w:rsidRDefault="0030549F">
      <w:pPr>
        <w:ind w:leftChars="114" w:left="719" w:hangingChars="200" w:hanging="480"/>
        <w:rPr>
          <w:sz w:val="24"/>
        </w:rPr>
      </w:pPr>
      <w:r w:rsidRPr="00342EC2">
        <w:rPr>
          <w:rFonts w:hint="eastAsia"/>
          <w:sz w:val="24"/>
        </w:rPr>
        <w:t>これを開封せず、開札</w:t>
      </w:r>
      <w:r w:rsidR="008F582F" w:rsidRPr="00342EC2">
        <w:rPr>
          <w:rFonts w:hint="eastAsia"/>
          <w:sz w:val="24"/>
        </w:rPr>
        <w:t>日</w:t>
      </w:r>
      <w:r w:rsidRPr="00342EC2">
        <w:rPr>
          <w:rFonts w:hint="eastAsia"/>
          <w:sz w:val="24"/>
        </w:rPr>
        <w:t>時まで厳重に保管するものとする。</w:t>
      </w:r>
    </w:p>
    <w:p w:rsidR="0030549F" w:rsidRPr="00342EC2" w:rsidRDefault="0030549F">
      <w:pPr>
        <w:rPr>
          <w:sz w:val="24"/>
        </w:rPr>
      </w:pPr>
      <w:r w:rsidRPr="00342EC2">
        <w:rPr>
          <w:rFonts w:hint="eastAsia"/>
          <w:sz w:val="24"/>
        </w:rPr>
        <w:t>２　到達した入札書等は、書換え、引換え又は撤回することができない。</w:t>
      </w:r>
    </w:p>
    <w:p w:rsidR="00CD636E" w:rsidRPr="00342EC2" w:rsidRDefault="00CD636E" w:rsidP="00CD636E">
      <w:pPr>
        <w:ind w:left="240" w:hangingChars="100" w:hanging="240"/>
        <w:rPr>
          <w:sz w:val="24"/>
        </w:rPr>
      </w:pPr>
      <w:r w:rsidRPr="00342EC2">
        <w:rPr>
          <w:rFonts w:hint="eastAsia"/>
          <w:sz w:val="24"/>
        </w:rPr>
        <w:t>３　入札を辞退した者は、これを理由として以後の指名等について不利益な取扱いを受け</w:t>
      </w:r>
      <w:r w:rsidR="00915C29" w:rsidRPr="00342EC2">
        <w:rPr>
          <w:rFonts w:hint="eastAsia"/>
          <w:sz w:val="24"/>
        </w:rPr>
        <w:t>ないものとする</w:t>
      </w:r>
      <w:r w:rsidRPr="00342EC2">
        <w:rPr>
          <w:rFonts w:hint="eastAsia"/>
          <w:sz w:val="24"/>
        </w:rPr>
        <w:t>。</w:t>
      </w:r>
    </w:p>
    <w:p w:rsidR="0030549F" w:rsidRPr="00342EC2" w:rsidRDefault="0030549F">
      <w:pPr>
        <w:ind w:firstLineChars="100" w:firstLine="240"/>
        <w:rPr>
          <w:sz w:val="24"/>
        </w:rPr>
      </w:pPr>
      <w:r w:rsidRPr="00342EC2">
        <w:rPr>
          <w:rFonts w:hint="eastAsia"/>
          <w:sz w:val="24"/>
        </w:rPr>
        <w:t>（入札の辞退）</w:t>
      </w:r>
    </w:p>
    <w:p w:rsidR="00DF49C2" w:rsidRPr="00342EC2" w:rsidRDefault="00A132B9" w:rsidP="00DB60DE">
      <w:pPr>
        <w:rPr>
          <w:sz w:val="24"/>
        </w:rPr>
      </w:pPr>
      <w:r w:rsidRPr="00342EC2">
        <w:rPr>
          <w:rFonts w:hint="eastAsia"/>
          <w:sz w:val="24"/>
        </w:rPr>
        <w:lastRenderedPageBreak/>
        <w:t>第５条</w:t>
      </w:r>
      <w:r w:rsidR="0030549F" w:rsidRPr="00342EC2">
        <w:rPr>
          <w:rFonts w:hint="eastAsia"/>
          <w:sz w:val="24"/>
        </w:rPr>
        <w:t xml:space="preserve">　</w:t>
      </w:r>
      <w:r w:rsidR="00DB60DE" w:rsidRPr="00342EC2">
        <w:rPr>
          <w:rFonts w:hint="eastAsia"/>
          <w:sz w:val="24"/>
        </w:rPr>
        <w:t>入札の辞退に</w:t>
      </w:r>
      <w:r w:rsidR="00DF49C2" w:rsidRPr="00342EC2">
        <w:rPr>
          <w:rFonts w:hint="eastAsia"/>
          <w:sz w:val="24"/>
        </w:rPr>
        <w:t>おいては、配達指定日までに</w:t>
      </w:r>
      <w:r w:rsidR="00DB60DE" w:rsidRPr="00342EC2">
        <w:rPr>
          <w:rFonts w:hint="eastAsia"/>
          <w:sz w:val="24"/>
        </w:rPr>
        <w:t>辞退届を提出すること。</w:t>
      </w:r>
    </w:p>
    <w:p w:rsidR="00DF49C2" w:rsidRPr="00342EC2" w:rsidRDefault="0030549F" w:rsidP="00ED4A72">
      <w:pPr>
        <w:ind w:left="240" w:hangingChars="100" w:hanging="240"/>
        <w:rPr>
          <w:sz w:val="24"/>
        </w:rPr>
      </w:pPr>
      <w:r w:rsidRPr="00342EC2">
        <w:rPr>
          <w:rFonts w:hint="eastAsia"/>
          <w:sz w:val="24"/>
        </w:rPr>
        <w:t xml:space="preserve">２　</w:t>
      </w:r>
      <w:r w:rsidR="00DB60DE" w:rsidRPr="00342EC2">
        <w:rPr>
          <w:rFonts w:hint="eastAsia"/>
          <w:sz w:val="24"/>
        </w:rPr>
        <w:t>当該入札の開札前に、</w:t>
      </w:r>
      <w:r w:rsidR="00DF49C2" w:rsidRPr="00342EC2">
        <w:rPr>
          <w:rFonts w:hint="eastAsia"/>
          <w:sz w:val="24"/>
        </w:rPr>
        <w:t>他の発注機関の入札を落札したため配置すべき技術者等の配置ができなくなった場合に限り、当該入札の開札前までに書面による申出により入札の辞退を</w:t>
      </w:r>
      <w:r w:rsidR="008B06C2" w:rsidRPr="00342EC2">
        <w:rPr>
          <w:rFonts w:hint="eastAsia"/>
          <w:sz w:val="24"/>
        </w:rPr>
        <w:t>認めるもの</w:t>
      </w:r>
      <w:r w:rsidR="00DF49C2" w:rsidRPr="00342EC2">
        <w:rPr>
          <w:rFonts w:hint="eastAsia"/>
          <w:sz w:val="24"/>
        </w:rPr>
        <w:t>とする。</w:t>
      </w:r>
    </w:p>
    <w:p w:rsidR="0030549F" w:rsidRPr="00342EC2" w:rsidRDefault="0030549F" w:rsidP="00094CCF">
      <w:pPr>
        <w:tabs>
          <w:tab w:val="left" w:pos="2625"/>
        </w:tabs>
        <w:ind w:leftChars="114" w:left="719" w:hangingChars="200" w:hanging="480"/>
        <w:rPr>
          <w:sz w:val="24"/>
        </w:rPr>
      </w:pPr>
      <w:r w:rsidRPr="00342EC2">
        <w:rPr>
          <w:rFonts w:hint="eastAsia"/>
          <w:sz w:val="24"/>
        </w:rPr>
        <w:t>（開札の立会い）</w:t>
      </w:r>
      <w:r w:rsidR="00094CCF" w:rsidRPr="00342EC2">
        <w:rPr>
          <w:sz w:val="24"/>
        </w:rPr>
        <w:tab/>
      </w:r>
    </w:p>
    <w:p w:rsidR="00DF20C2" w:rsidRPr="00342EC2" w:rsidRDefault="0030549F" w:rsidP="00DF20C2">
      <w:pPr>
        <w:ind w:left="240" w:hangingChars="100" w:hanging="240"/>
      </w:pPr>
      <w:r w:rsidRPr="00342EC2">
        <w:rPr>
          <w:rFonts w:hint="eastAsia"/>
          <w:sz w:val="24"/>
        </w:rPr>
        <w:t xml:space="preserve">第６条　</w:t>
      </w:r>
      <w:r w:rsidR="00DF20C2" w:rsidRPr="00342EC2">
        <w:rPr>
          <w:rFonts w:hint="eastAsia"/>
          <w:sz w:val="24"/>
        </w:rPr>
        <w:t>郵便入札の開札については、入札参加者の中から入札立会人を２人選任し、立合わせるものとする。なお、立会人の選任方法については、別紙</w:t>
      </w:r>
      <w:r w:rsidR="00CD3EEC" w:rsidRPr="00342EC2">
        <w:rPr>
          <w:rFonts w:hint="eastAsia"/>
          <w:sz w:val="24"/>
        </w:rPr>
        <w:t>２</w:t>
      </w:r>
      <w:r w:rsidR="00DF20C2" w:rsidRPr="00342EC2">
        <w:rPr>
          <w:rFonts w:hint="eastAsia"/>
          <w:sz w:val="24"/>
        </w:rPr>
        <w:t>のとおりとする。</w:t>
      </w:r>
    </w:p>
    <w:p w:rsidR="00EB48E7" w:rsidRPr="00342EC2" w:rsidRDefault="0030549F" w:rsidP="00EB48E7">
      <w:pPr>
        <w:ind w:left="240" w:hangingChars="100" w:hanging="240"/>
        <w:rPr>
          <w:sz w:val="24"/>
        </w:rPr>
      </w:pPr>
      <w:r w:rsidRPr="00342EC2">
        <w:rPr>
          <w:rFonts w:hint="eastAsia"/>
          <w:sz w:val="24"/>
        </w:rPr>
        <w:t xml:space="preserve">２　</w:t>
      </w:r>
      <w:r w:rsidR="00EB48E7" w:rsidRPr="00342EC2">
        <w:rPr>
          <w:rFonts w:hint="eastAsia"/>
          <w:sz w:val="24"/>
        </w:rPr>
        <w:t>選任された入札立会人は、やむを得ない理由がある場合を除き、立会いを辞退することができないものとする。</w:t>
      </w:r>
    </w:p>
    <w:p w:rsidR="0030549F" w:rsidRPr="00342EC2" w:rsidRDefault="001271DF">
      <w:pPr>
        <w:ind w:left="240" w:hangingChars="100" w:hanging="240"/>
        <w:rPr>
          <w:sz w:val="24"/>
        </w:rPr>
      </w:pPr>
      <w:r w:rsidRPr="00342EC2">
        <w:rPr>
          <w:rFonts w:hint="eastAsia"/>
          <w:sz w:val="24"/>
        </w:rPr>
        <w:t xml:space="preserve">３　</w:t>
      </w:r>
      <w:r w:rsidR="002D3225" w:rsidRPr="00342EC2">
        <w:rPr>
          <w:rFonts w:hint="eastAsia"/>
          <w:sz w:val="24"/>
        </w:rPr>
        <w:t>入札立会人が代理人の場合は、委任状を必要とする。</w:t>
      </w:r>
    </w:p>
    <w:p w:rsidR="002D3225" w:rsidRPr="00342EC2" w:rsidRDefault="0030549F" w:rsidP="002D3225">
      <w:pPr>
        <w:ind w:left="240" w:hangingChars="100" w:hanging="240"/>
        <w:rPr>
          <w:sz w:val="24"/>
        </w:rPr>
      </w:pPr>
      <w:r w:rsidRPr="00342EC2">
        <w:rPr>
          <w:rFonts w:hint="eastAsia"/>
          <w:sz w:val="24"/>
        </w:rPr>
        <w:t xml:space="preserve">４　</w:t>
      </w:r>
      <w:r w:rsidR="002D3225" w:rsidRPr="00342EC2">
        <w:rPr>
          <w:rFonts w:hint="eastAsia"/>
          <w:sz w:val="24"/>
        </w:rPr>
        <w:t>開札時になっても入札立会人が全て参集しないときは、当該入札事務執行者以外の職員が立会い、開札する。</w:t>
      </w:r>
    </w:p>
    <w:p w:rsidR="002D3225" w:rsidRPr="00342EC2" w:rsidRDefault="0030549F">
      <w:pPr>
        <w:ind w:left="240" w:hangingChars="100" w:hanging="240"/>
        <w:rPr>
          <w:sz w:val="24"/>
        </w:rPr>
      </w:pPr>
      <w:r w:rsidRPr="00342EC2">
        <w:rPr>
          <w:rFonts w:hint="eastAsia"/>
          <w:sz w:val="24"/>
        </w:rPr>
        <w:t>５</w:t>
      </w:r>
      <w:r w:rsidR="002D3225" w:rsidRPr="00342EC2">
        <w:rPr>
          <w:rFonts w:hint="eastAsia"/>
          <w:sz w:val="24"/>
        </w:rPr>
        <w:t xml:space="preserve">　入札立会人は、当該入札終了後に入札立会確認書に記名・押印しなければならない。</w:t>
      </w:r>
    </w:p>
    <w:p w:rsidR="0030549F" w:rsidRPr="00342EC2" w:rsidRDefault="0030549F">
      <w:pPr>
        <w:ind w:left="240" w:hangingChars="100" w:hanging="240"/>
        <w:rPr>
          <w:sz w:val="24"/>
        </w:rPr>
      </w:pPr>
      <w:r w:rsidRPr="00342EC2">
        <w:rPr>
          <w:rFonts w:hint="eastAsia"/>
          <w:sz w:val="24"/>
        </w:rPr>
        <w:t xml:space="preserve">６　</w:t>
      </w:r>
      <w:r w:rsidR="00EB48E7" w:rsidRPr="00342EC2">
        <w:rPr>
          <w:rFonts w:hint="eastAsia"/>
          <w:sz w:val="24"/>
        </w:rPr>
        <w:t>入札参加者は、１業</w:t>
      </w:r>
      <w:r w:rsidR="00DB60DE" w:rsidRPr="00342EC2">
        <w:rPr>
          <w:rFonts w:hint="eastAsia"/>
          <w:sz w:val="24"/>
        </w:rPr>
        <w:t>者</w:t>
      </w:r>
      <w:r w:rsidR="00EB48E7" w:rsidRPr="00342EC2">
        <w:rPr>
          <w:rFonts w:hint="eastAsia"/>
          <w:sz w:val="24"/>
        </w:rPr>
        <w:t>１名</w:t>
      </w:r>
      <w:r w:rsidR="00C92B19" w:rsidRPr="00342EC2">
        <w:rPr>
          <w:rFonts w:hint="eastAsia"/>
          <w:sz w:val="24"/>
        </w:rPr>
        <w:t>に限り</w:t>
      </w:r>
      <w:r w:rsidR="00EB48E7" w:rsidRPr="00342EC2">
        <w:rPr>
          <w:rFonts w:hint="eastAsia"/>
          <w:sz w:val="24"/>
        </w:rPr>
        <w:t>開札を傍聴することができる。</w:t>
      </w:r>
    </w:p>
    <w:p w:rsidR="00F33B01" w:rsidRPr="00342EC2" w:rsidRDefault="0030549F" w:rsidP="009610F4">
      <w:pPr>
        <w:ind w:leftChars="114" w:left="239"/>
        <w:rPr>
          <w:rFonts w:eastAsia="DengXian"/>
          <w:sz w:val="24"/>
          <w:lang w:eastAsia="zh-CN"/>
        </w:rPr>
      </w:pPr>
      <w:r w:rsidRPr="00342EC2">
        <w:rPr>
          <w:rFonts w:hint="eastAsia"/>
          <w:sz w:val="24"/>
          <w:lang w:eastAsia="zh-CN"/>
        </w:rPr>
        <w:t>（開札）</w:t>
      </w:r>
    </w:p>
    <w:p w:rsidR="0030549F" w:rsidRPr="00342EC2" w:rsidRDefault="009610F4" w:rsidP="00F33B01">
      <w:pPr>
        <w:ind w:left="240" w:hangingChars="100" w:hanging="240"/>
        <w:rPr>
          <w:sz w:val="24"/>
        </w:rPr>
      </w:pPr>
      <w:r w:rsidRPr="00342EC2">
        <w:rPr>
          <w:rFonts w:hint="eastAsia"/>
          <w:sz w:val="24"/>
        </w:rPr>
        <w:t xml:space="preserve">第７条　</w:t>
      </w:r>
      <w:r w:rsidR="0030549F" w:rsidRPr="00342EC2">
        <w:rPr>
          <w:rFonts w:hint="eastAsia"/>
          <w:sz w:val="24"/>
        </w:rPr>
        <w:t>開札は、公告等に記載した開札日時に行うものとする。</w:t>
      </w:r>
    </w:p>
    <w:p w:rsidR="0030549F" w:rsidRPr="00342EC2" w:rsidRDefault="0030549F">
      <w:pPr>
        <w:ind w:left="240" w:hangingChars="100" w:hanging="240"/>
        <w:rPr>
          <w:sz w:val="24"/>
        </w:rPr>
      </w:pPr>
      <w:r w:rsidRPr="00342EC2">
        <w:rPr>
          <w:rFonts w:hint="eastAsia"/>
          <w:sz w:val="24"/>
        </w:rPr>
        <w:t>２　開札の結果、落札となるべき同価格の入札をした者が２者以上あるときは、抽選により落札者を決定する。この場合において、入札立会人の中から選定し、抽選を行うものとする。</w:t>
      </w:r>
    </w:p>
    <w:p w:rsidR="00F33B01" w:rsidRPr="00342EC2" w:rsidRDefault="0030549F" w:rsidP="00F33B01">
      <w:pPr>
        <w:ind w:firstLineChars="100" w:firstLine="240"/>
        <w:rPr>
          <w:sz w:val="24"/>
        </w:rPr>
      </w:pPr>
      <w:r w:rsidRPr="00342EC2">
        <w:rPr>
          <w:rFonts w:hint="eastAsia"/>
          <w:sz w:val="24"/>
        </w:rPr>
        <w:t>（入札の無効）</w:t>
      </w:r>
    </w:p>
    <w:p w:rsidR="0030549F" w:rsidRPr="00342EC2" w:rsidRDefault="00F33B01" w:rsidP="00F33B01">
      <w:pPr>
        <w:ind w:left="240" w:hangingChars="100" w:hanging="240"/>
        <w:rPr>
          <w:sz w:val="24"/>
        </w:rPr>
      </w:pPr>
      <w:r w:rsidRPr="00342EC2">
        <w:rPr>
          <w:rFonts w:hint="eastAsia"/>
          <w:sz w:val="24"/>
        </w:rPr>
        <w:t xml:space="preserve">第８条　</w:t>
      </w:r>
      <w:r w:rsidR="0030549F" w:rsidRPr="00342EC2">
        <w:rPr>
          <w:rFonts w:hint="eastAsia"/>
          <w:sz w:val="24"/>
        </w:rPr>
        <w:t>次の各号のいずれかに該当する入札は、無効とする。</w:t>
      </w:r>
    </w:p>
    <w:p w:rsidR="0030549F" w:rsidRPr="00342EC2" w:rsidRDefault="00ED4A72" w:rsidP="00ED4A72">
      <w:pPr>
        <w:rPr>
          <w:sz w:val="24"/>
        </w:rPr>
      </w:pPr>
      <w:r w:rsidRPr="00342EC2">
        <w:rPr>
          <w:rFonts w:hint="eastAsia"/>
          <w:sz w:val="24"/>
        </w:rPr>
        <w:t>（１）</w:t>
      </w:r>
      <w:r w:rsidR="0030549F" w:rsidRPr="00342EC2">
        <w:rPr>
          <w:rFonts w:hint="eastAsia"/>
          <w:sz w:val="24"/>
        </w:rPr>
        <w:t>入札参加資格のない者のした入札</w:t>
      </w:r>
    </w:p>
    <w:p w:rsidR="0030549F" w:rsidRPr="00342EC2" w:rsidRDefault="00ED4A72" w:rsidP="00ED4A72">
      <w:pPr>
        <w:rPr>
          <w:sz w:val="24"/>
        </w:rPr>
      </w:pPr>
      <w:r w:rsidRPr="00342EC2">
        <w:rPr>
          <w:rFonts w:hint="eastAsia"/>
          <w:sz w:val="24"/>
        </w:rPr>
        <w:t>（２）</w:t>
      </w:r>
      <w:r w:rsidR="0030549F" w:rsidRPr="00342EC2">
        <w:rPr>
          <w:rFonts w:hint="eastAsia"/>
          <w:sz w:val="24"/>
        </w:rPr>
        <w:t>設計図書等の配付を受けていない者のした入札</w:t>
      </w:r>
    </w:p>
    <w:p w:rsidR="0030549F" w:rsidRPr="00342EC2" w:rsidRDefault="00ED4A72" w:rsidP="00ED4A72">
      <w:pPr>
        <w:rPr>
          <w:sz w:val="24"/>
        </w:rPr>
      </w:pPr>
      <w:r w:rsidRPr="00342EC2">
        <w:rPr>
          <w:rFonts w:hint="eastAsia"/>
          <w:sz w:val="24"/>
        </w:rPr>
        <w:t>（３）</w:t>
      </w:r>
      <w:r w:rsidR="0030549F" w:rsidRPr="00342EC2">
        <w:rPr>
          <w:rFonts w:hint="eastAsia"/>
          <w:sz w:val="24"/>
        </w:rPr>
        <w:t>一枚の</w:t>
      </w:r>
      <w:r w:rsidR="001B79A4" w:rsidRPr="00342EC2">
        <w:rPr>
          <w:rFonts w:hint="eastAsia"/>
          <w:sz w:val="24"/>
        </w:rPr>
        <w:t>指定</w:t>
      </w:r>
      <w:r w:rsidR="0030549F" w:rsidRPr="00342EC2">
        <w:rPr>
          <w:rFonts w:hint="eastAsia"/>
          <w:sz w:val="24"/>
        </w:rPr>
        <w:t>封筒に、複数の入札案件の入札書等を同封した入札</w:t>
      </w:r>
    </w:p>
    <w:p w:rsidR="0030549F" w:rsidRPr="00342EC2" w:rsidRDefault="00ED4A72" w:rsidP="00ED4A72">
      <w:pPr>
        <w:rPr>
          <w:sz w:val="24"/>
        </w:rPr>
      </w:pPr>
      <w:r w:rsidRPr="00342EC2">
        <w:rPr>
          <w:rFonts w:hint="eastAsia"/>
          <w:sz w:val="24"/>
        </w:rPr>
        <w:t>（４）</w:t>
      </w:r>
      <w:r w:rsidR="0030549F" w:rsidRPr="00342EC2">
        <w:rPr>
          <w:rFonts w:hint="eastAsia"/>
          <w:sz w:val="24"/>
        </w:rPr>
        <w:t>同一の入札案件について複数の入札書等を提出した入札</w:t>
      </w:r>
    </w:p>
    <w:p w:rsidR="0030549F" w:rsidRPr="00342EC2" w:rsidRDefault="00ED4A72" w:rsidP="00ED4A72">
      <w:pPr>
        <w:rPr>
          <w:sz w:val="24"/>
        </w:rPr>
      </w:pPr>
      <w:r w:rsidRPr="00342EC2">
        <w:rPr>
          <w:rFonts w:hint="eastAsia"/>
          <w:sz w:val="24"/>
        </w:rPr>
        <w:t>（５）</w:t>
      </w:r>
      <w:r w:rsidR="0030549F" w:rsidRPr="00342EC2">
        <w:rPr>
          <w:rFonts w:hint="eastAsia"/>
          <w:sz w:val="24"/>
        </w:rPr>
        <w:t>入札書等の記載が不明瞭なもの及び記名押印を欠く入札</w:t>
      </w:r>
    </w:p>
    <w:p w:rsidR="0030549F" w:rsidRPr="00342EC2" w:rsidRDefault="00ED4A72" w:rsidP="00ED4A72">
      <w:pPr>
        <w:rPr>
          <w:sz w:val="24"/>
        </w:rPr>
      </w:pPr>
      <w:r w:rsidRPr="00342EC2">
        <w:rPr>
          <w:rFonts w:hint="eastAsia"/>
          <w:sz w:val="24"/>
        </w:rPr>
        <w:t>（６）</w:t>
      </w:r>
      <w:r w:rsidR="0030549F" w:rsidRPr="00342EC2">
        <w:rPr>
          <w:rFonts w:hint="eastAsia"/>
          <w:sz w:val="24"/>
        </w:rPr>
        <w:t>入札書記載の金額を訂正した入札</w:t>
      </w:r>
    </w:p>
    <w:p w:rsidR="0030549F" w:rsidRPr="00342EC2" w:rsidRDefault="00ED4A72" w:rsidP="00ED4A72">
      <w:pPr>
        <w:rPr>
          <w:sz w:val="24"/>
        </w:rPr>
      </w:pPr>
      <w:r w:rsidRPr="00342EC2">
        <w:rPr>
          <w:rFonts w:hint="eastAsia"/>
          <w:sz w:val="24"/>
        </w:rPr>
        <w:t>（７）</w:t>
      </w:r>
      <w:r w:rsidR="0030549F" w:rsidRPr="00342EC2">
        <w:rPr>
          <w:rFonts w:hint="eastAsia"/>
          <w:sz w:val="24"/>
        </w:rPr>
        <w:t>第３条に規定する方法以外の方法で入札書等を提出した入札</w:t>
      </w:r>
    </w:p>
    <w:p w:rsidR="00DB60DE" w:rsidRPr="00342EC2" w:rsidRDefault="00ED4A72" w:rsidP="00ED4A72">
      <w:pPr>
        <w:rPr>
          <w:sz w:val="24"/>
        </w:rPr>
      </w:pPr>
      <w:r w:rsidRPr="00342EC2">
        <w:rPr>
          <w:rFonts w:hint="eastAsia"/>
          <w:sz w:val="24"/>
        </w:rPr>
        <w:t>（８）</w:t>
      </w:r>
      <w:r w:rsidR="0030549F" w:rsidRPr="00342EC2">
        <w:rPr>
          <w:rFonts w:hint="eastAsia"/>
          <w:sz w:val="24"/>
        </w:rPr>
        <w:t>入札書等が第３条第１項の指定する日以外の日に到達した入札（</w:t>
      </w:r>
      <w:r w:rsidR="00DB60DE" w:rsidRPr="00342EC2">
        <w:rPr>
          <w:rFonts w:hint="eastAsia"/>
          <w:sz w:val="24"/>
        </w:rPr>
        <w:t>第１</w:t>
      </w:r>
    </w:p>
    <w:p w:rsidR="0030549F" w:rsidRPr="00342EC2" w:rsidRDefault="00DB60DE" w:rsidP="00ED4A72">
      <w:pPr>
        <w:ind w:firstLineChars="200" w:firstLine="480"/>
        <w:rPr>
          <w:sz w:val="24"/>
        </w:rPr>
      </w:pPr>
      <w:r w:rsidRPr="00342EC2">
        <w:rPr>
          <w:rFonts w:hint="eastAsia"/>
          <w:sz w:val="24"/>
        </w:rPr>
        <w:t>０</w:t>
      </w:r>
      <w:r w:rsidR="0030549F" w:rsidRPr="00342EC2">
        <w:rPr>
          <w:rFonts w:hint="eastAsia"/>
          <w:sz w:val="24"/>
        </w:rPr>
        <w:t>条の規定により、入札を延期した場合を除く。）</w:t>
      </w:r>
    </w:p>
    <w:p w:rsidR="0030549F" w:rsidRPr="00342EC2" w:rsidRDefault="00ED4A72" w:rsidP="004A617A">
      <w:pPr>
        <w:ind w:left="480" w:hangingChars="200" w:hanging="480"/>
        <w:jc w:val="left"/>
        <w:rPr>
          <w:sz w:val="24"/>
        </w:rPr>
      </w:pPr>
      <w:r w:rsidRPr="00342EC2">
        <w:rPr>
          <w:rFonts w:hint="eastAsia"/>
          <w:sz w:val="24"/>
        </w:rPr>
        <w:t>（９）</w:t>
      </w:r>
      <w:r w:rsidR="0030549F" w:rsidRPr="00342EC2">
        <w:rPr>
          <w:rFonts w:hint="eastAsia"/>
          <w:sz w:val="24"/>
        </w:rPr>
        <w:t>指定封筒に件名、差出人名等が記載されていないもの、件名が確認できないもの又は</w:t>
      </w:r>
      <w:r w:rsidR="004A617A" w:rsidRPr="00342EC2">
        <w:rPr>
          <w:rFonts w:hint="eastAsia"/>
          <w:sz w:val="24"/>
        </w:rPr>
        <w:t>指定封筒</w:t>
      </w:r>
      <w:r w:rsidR="0030549F" w:rsidRPr="00342EC2">
        <w:rPr>
          <w:rFonts w:hint="eastAsia"/>
          <w:sz w:val="24"/>
        </w:rPr>
        <w:t>に</w:t>
      </w:r>
      <w:r w:rsidR="00691D16" w:rsidRPr="00342EC2">
        <w:rPr>
          <w:rFonts w:hint="eastAsia"/>
          <w:sz w:val="24"/>
        </w:rPr>
        <w:t>登録印</w:t>
      </w:r>
      <w:r w:rsidR="0030549F" w:rsidRPr="00342EC2">
        <w:rPr>
          <w:rFonts w:hint="eastAsia"/>
          <w:sz w:val="24"/>
        </w:rPr>
        <w:t>で封かん（割印）のないもの</w:t>
      </w:r>
    </w:p>
    <w:p w:rsidR="0030549F" w:rsidRPr="00342EC2" w:rsidRDefault="00ED4A72" w:rsidP="004A617A">
      <w:pPr>
        <w:ind w:left="480" w:hangingChars="200" w:hanging="480"/>
        <w:rPr>
          <w:sz w:val="24"/>
        </w:rPr>
      </w:pPr>
      <w:r w:rsidRPr="00342EC2">
        <w:rPr>
          <w:rFonts w:hint="eastAsia"/>
          <w:sz w:val="24"/>
        </w:rPr>
        <w:t>（１０）</w:t>
      </w:r>
      <w:r w:rsidR="004A617A" w:rsidRPr="00342EC2">
        <w:rPr>
          <w:rFonts w:hint="eastAsia"/>
          <w:sz w:val="24"/>
        </w:rPr>
        <w:t>指定封筒</w:t>
      </w:r>
      <w:r w:rsidR="0030549F" w:rsidRPr="00342EC2">
        <w:rPr>
          <w:rFonts w:hint="eastAsia"/>
          <w:sz w:val="24"/>
        </w:rPr>
        <w:t>記載の件名、差出人名と同封された入札書の件名、</w:t>
      </w:r>
      <w:r w:rsidR="001271DF" w:rsidRPr="00342EC2">
        <w:rPr>
          <w:rFonts w:hint="eastAsia"/>
          <w:sz w:val="24"/>
        </w:rPr>
        <w:t>商号又は名称</w:t>
      </w:r>
      <w:r w:rsidR="0030549F" w:rsidRPr="00342EC2">
        <w:rPr>
          <w:rFonts w:hint="eastAsia"/>
          <w:sz w:val="24"/>
        </w:rPr>
        <w:t>が相違するもの</w:t>
      </w:r>
    </w:p>
    <w:p w:rsidR="0030549F" w:rsidRPr="00342EC2" w:rsidRDefault="001271DF" w:rsidP="001271DF">
      <w:pPr>
        <w:ind w:left="720" w:hangingChars="300" w:hanging="720"/>
        <w:rPr>
          <w:sz w:val="24"/>
        </w:rPr>
      </w:pPr>
      <w:r w:rsidRPr="00342EC2">
        <w:rPr>
          <w:rFonts w:hint="eastAsia"/>
          <w:sz w:val="24"/>
        </w:rPr>
        <w:lastRenderedPageBreak/>
        <w:t>（１１）</w:t>
      </w:r>
      <w:r w:rsidR="00691D16" w:rsidRPr="00342EC2">
        <w:rPr>
          <w:rFonts w:hint="eastAsia"/>
          <w:sz w:val="24"/>
        </w:rPr>
        <w:t>積算内訳書</w:t>
      </w:r>
      <w:r w:rsidR="00395803" w:rsidRPr="00342EC2">
        <w:rPr>
          <w:rFonts w:hint="eastAsia"/>
          <w:sz w:val="24"/>
        </w:rPr>
        <w:t>の提出を求められた入札</w:t>
      </w:r>
      <w:r w:rsidR="00691D16" w:rsidRPr="00342EC2">
        <w:rPr>
          <w:rFonts w:hint="eastAsia"/>
          <w:sz w:val="24"/>
        </w:rPr>
        <w:t>で、</w:t>
      </w:r>
      <w:r w:rsidRPr="00342EC2">
        <w:rPr>
          <w:rFonts w:hint="eastAsia"/>
          <w:sz w:val="24"/>
        </w:rPr>
        <w:t>積算内訳書の</w:t>
      </w:r>
      <w:r w:rsidR="0030549F" w:rsidRPr="00342EC2">
        <w:rPr>
          <w:rFonts w:hint="eastAsia"/>
          <w:sz w:val="24"/>
        </w:rPr>
        <w:t>提出がないもの</w:t>
      </w:r>
    </w:p>
    <w:p w:rsidR="0030549F" w:rsidRPr="00342EC2" w:rsidRDefault="0030549F" w:rsidP="00395803">
      <w:pPr>
        <w:pStyle w:val="a3"/>
      </w:pPr>
      <w:r w:rsidRPr="00342EC2">
        <w:rPr>
          <w:rFonts w:hint="eastAsia"/>
        </w:rPr>
        <w:t>（１２）</w:t>
      </w:r>
      <w:r w:rsidR="001271DF" w:rsidRPr="00342EC2">
        <w:rPr>
          <w:rFonts w:hint="eastAsia"/>
        </w:rPr>
        <w:t>積算内訳書</w:t>
      </w:r>
      <w:r w:rsidR="00277F2B" w:rsidRPr="00342EC2">
        <w:rPr>
          <w:rFonts w:hint="eastAsia"/>
        </w:rPr>
        <w:t>の提出を求められた入札で</w:t>
      </w:r>
      <w:r w:rsidR="001271DF" w:rsidRPr="00342EC2">
        <w:rPr>
          <w:rFonts w:hint="eastAsia"/>
        </w:rPr>
        <w:t>、</w:t>
      </w:r>
      <w:r w:rsidR="00395803" w:rsidRPr="00342EC2">
        <w:rPr>
          <w:rFonts w:hint="eastAsia"/>
        </w:rPr>
        <w:t>積算</w:t>
      </w:r>
      <w:r w:rsidR="001271DF" w:rsidRPr="00342EC2">
        <w:rPr>
          <w:rFonts w:hint="eastAsia"/>
        </w:rPr>
        <w:t>内訳書の合計額と</w:t>
      </w:r>
      <w:r w:rsidRPr="00342EC2">
        <w:rPr>
          <w:rFonts w:hint="eastAsia"/>
        </w:rPr>
        <w:t>入札書の金額が同一の金額でないもの</w:t>
      </w:r>
    </w:p>
    <w:p w:rsidR="0030549F" w:rsidRPr="00342EC2" w:rsidRDefault="0030549F" w:rsidP="009225D1">
      <w:pPr>
        <w:ind w:left="720" w:hangingChars="300" w:hanging="720"/>
        <w:rPr>
          <w:sz w:val="24"/>
        </w:rPr>
      </w:pPr>
      <w:r w:rsidRPr="00342EC2">
        <w:rPr>
          <w:rFonts w:hint="eastAsia"/>
          <w:sz w:val="24"/>
        </w:rPr>
        <w:t>（１３）</w:t>
      </w:r>
      <w:r w:rsidR="00684C0C" w:rsidRPr="00342EC2">
        <w:rPr>
          <w:rFonts w:hint="eastAsia"/>
          <w:sz w:val="24"/>
        </w:rPr>
        <w:t>建設工事において、</w:t>
      </w:r>
      <w:r w:rsidRPr="00342EC2">
        <w:rPr>
          <w:rFonts w:hint="eastAsia"/>
          <w:sz w:val="24"/>
        </w:rPr>
        <w:t>複数の入札案件に入札参加申請を行った場合、落札した段階で工期が重なっている同じ技術者を配置している以後の入札（申請書に他に配置可能な技術者等の記載がある場合を除く。）</w:t>
      </w:r>
    </w:p>
    <w:p w:rsidR="0030549F" w:rsidRPr="00342EC2" w:rsidRDefault="0030549F">
      <w:pPr>
        <w:rPr>
          <w:sz w:val="24"/>
        </w:rPr>
      </w:pPr>
      <w:r w:rsidRPr="00342EC2">
        <w:rPr>
          <w:rFonts w:hint="eastAsia"/>
          <w:sz w:val="24"/>
        </w:rPr>
        <w:t>（１４）前各号に掲げるもののほか、入札に関する条件に違反してなされたも</w:t>
      </w:r>
    </w:p>
    <w:p w:rsidR="0030549F" w:rsidRPr="00342EC2" w:rsidRDefault="0030549F">
      <w:pPr>
        <w:ind w:firstLineChars="300" w:firstLine="720"/>
        <w:rPr>
          <w:sz w:val="24"/>
        </w:rPr>
      </w:pPr>
      <w:r w:rsidRPr="00342EC2">
        <w:rPr>
          <w:rFonts w:hint="eastAsia"/>
          <w:sz w:val="24"/>
        </w:rPr>
        <w:t>の</w:t>
      </w:r>
    </w:p>
    <w:p w:rsidR="001271DF" w:rsidRPr="00342EC2" w:rsidRDefault="001271DF" w:rsidP="001271DF">
      <w:pPr>
        <w:ind w:firstLineChars="100" w:firstLine="240"/>
        <w:rPr>
          <w:sz w:val="24"/>
        </w:rPr>
      </w:pPr>
      <w:r w:rsidRPr="00342EC2">
        <w:rPr>
          <w:rFonts w:hint="eastAsia"/>
          <w:sz w:val="24"/>
        </w:rPr>
        <w:t>（入札の失格）</w:t>
      </w:r>
    </w:p>
    <w:p w:rsidR="001271DF" w:rsidRPr="00342EC2" w:rsidRDefault="00F33B01" w:rsidP="00F33B01">
      <w:pPr>
        <w:rPr>
          <w:sz w:val="24"/>
        </w:rPr>
      </w:pPr>
      <w:r w:rsidRPr="00342EC2">
        <w:rPr>
          <w:rFonts w:hint="eastAsia"/>
          <w:sz w:val="24"/>
        </w:rPr>
        <w:t xml:space="preserve">第９条　</w:t>
      </w:r>
      <w:r w:rsidR="001271DF" w:rsidRPr="00342EC2">
        <w:rPr>
          <w:rFonts w:hint="eastAsia"/>
          <w:sz w:val="24"/>
        </w:rPr>
        <w:t>次の各号のいずれかに該当する入札は、失格とする。</w:t>
      </w:r>
    </w:p>
    <w:p w:rsidR="001271DF" w:rsidRPr="00342EC2" w:rsidRDefault="001271DF" w:rsidP="001271DF">
      <w:pPr>
        <w:rPr>
          <w:sz w:val="24"/>
        </w:rPr>
      </w:pPr>
      <w:r w:rsidRPr="00342EC2">
        <w:rPr>
          <w:rFonts w:hint="eastAsia"/>
          <w:sz w:val="24"/>
        </w:rPr>
        <w:t>（１）入札に際して公正な入札の執行を害する行為をなした者の入札</w:t>
      </w:r>
    </w:p>
    <w:p w:rsidR="001271DF" w:rsidRPr="00342EC2" w:rsidRDefault="001271DF" w:rsidP="001271DF">
      <w:pPr>
        <w:rPr>
          <w:sz w:val="24"/>
        </w:rPr>
      </w:pPr>
      <w:r w:rsidRPr="00342EC2">
        <w:rPr>
          <w:rFonts w:hint="eastAsia"/>
          <w:sz w:val="24"/>
        </w:rPr>
        <w:t>（２）入札に関し談合等の不正行為をした者の入札</w:t>
      </w:r>
    </w:p>
    <w:p w:rsidR="001271DF" w:rsidRPr="00342EC2" w:rsidRDefault="001271DF" w:rsidP="001271DF">
      <w:pPr>
        <w:rPr>
          <w:sz w:val="24"/>
        </w:rPr>
      </w:pPr>
      <w:r w:rsidRPr="00342EC2">
        <w:rPr>
          <w:rFonts w:hint="eastAsia"/>
          <w:sz w:val="24"/>
        </w:rPr>
        <w:t>（３）入札執行者及び職員の指示に従わない等入札室の秩序を乱した者の入札</w:t>
      </w:r>
    </w:p>
    <w:p w:rsidR="001271DF" w:rsidRPr="00342EC2" w:rsidRDefault="001271DF" w:rsidP="001271DF">
      <w:pPr>
        <w:rPr>
          <w:sz w:val="24"/>
        </w:rPr>
      </w:pPr>
      <w:r w:rsidRPr="00342EC2">
        <w:rPr>
          <w:rFonts w:hint="eastAsia"/>
          <w:sz w:val="24"/>
        </w:rPr>
        <w:t>（４）事前公表された予定価格を上回る価格の入札</w:t>
      </w:r>
    </w:p>
    <w:p w:rsidR="001271DF" w:rsidRPr="00342EC2" w:rsidRDefault="001271DF" w:rsidP="001271DF">
      <w:pPr>
        <w:rPr>
          <w:sz w:val="24"/>
        </w:rPr>
      </w:pPr>
      <w:r w:rsidRPr="00342EC2">
        <w:rPr>
          <w:rFonts w:hint="eastAsia"/>
          <w:sz w:val="24"/>
        </w:rPr>
        <w:t>（５）事前公表された最低制限価格を下回る価格の入札</w:t>
      </w:r>
    </w:p>
    <w:p w:rsidR="001271DF" w:rsidRPr="00342EC2" w:rsidRDefault="001271DF" w:rsidP="001271DF">
      <w:pPr>
        <w:rPr>
          <w:sz w:val="24"/>
        </w:rPr>
      </w:pPr>
      <w:r w:rsidRPr="00342EC2">
        <w:rPr>
          <w:rFonts w:hint="eastAsia"/>
          <w:sz w:val="24"/>
        </w:rPr>
        <w:t>（６）その他入札執行者において失格と認めた入札</w:t>
      </w:r>
    </w:p>
    <w:p w:rsidR="0030549F" w:rsidRPr="00342EC2" w:rsidRDefault="0030549F">
      <w:pPr>
        <w:ind w:firstLineChars="100" w:firstLine="240"/>
        <w:rPr>
          <w:sz w:val="24"/>
        </w:rPr>
      </w:pPr>
      <w:r w:rsidRPr="00342EC2">
        <w:rPr>
          <w:rFonts w:hint="eastAsia"/>
          <w:sz w:val="24"/>
        </w:rPr>
        <w:t>（入札の延期、中止）</w:t>
      </w:r>
    </w:p>
    <w:p w:rsidR="0030549F" w:rsidRPr="00342EC2" w:rsidRDefault="00A73F76">
      <w:pPr>
        <w:ind w:left="240" w:hangingChars="100" w:hanging="240"/>
        <w:rPr>
          <w:sz w:val="24"/>
        </w:rPr>
      </w:pPr>
      <w:r w:rsidRPr="00342EC2">
        <w:rPr>
          <w:rFonts w:hint="eastAsia"/>
          <w:sz w:val="24"/>
        </w:rPr>
        <w:t>第１０</w:t>
      </w:r>
      <w:r w:rsidR="0030549F" w:rsidRPr="00342EC2">
        <w:rPr>
          <w:rFonts w:hint="eastAsia"/>
          <w:sz w:val="24"/>
        </w:rPr>
        <w:t>条　市長は、郵便事情等による事故</w:t>
      </w:r>
      <w:r w:rsidR="00DB60DE" w:rsidRPr="00342EC2">
        <w:rPr>
          <w:rFonts w:hint="eastAsia"/>
          <w:sz w:val="24"/>
        </w:rPr>
        <w:t>、不正な行為又は災害その他</w:t>
      </w:r>
      <w:r w:rsidR="0030549F" w:rsidRPr="00342EC2">
        <w:rPr>
          <w:rFonts w:hint="eastAsia"/>
          <w:sz w:val="24"/>
        </w:rPr>
        <w:t>必要があると認めるときは、入札の延期又は中止をすることができる。</w:t>
      </w:r>
    </w:p>
    <w:p w:rsidR="0030549F" w:rsidRPr="00342EC2" w:rsidRDefault="0030549F">
      <w:pPr>
        <w:ind w:firstLineChars="100" w:firstLine="240"/>
        <w:rPr>
          <w:sz w:val="24"/>
        </w:rPr>
      </w:pPr>
      <w:r w:rsidRPr="00342EC2">
        <w:rPr>
          <w:rFonts w:hint="eastAsia"/>
          <w:sz w:val="24"/>
        </w:rPr>
        <w:t>（入札結果等の公表）</w:t>
      </w:r>
    </w:p>
    <w:p w:rsidR="0030549F" w:rsidRPr="00342EC2" w:rsidRDefault="00A73F76">
      <w:pPr>
        <w:ind w:left="240" w:hangingChars="100" w:hanging="240"/>
        <w:rPr>
          <w:sz w:val="24"/>
        </w:rPr>
      </w:pPr>
      <w:r w:rsidRPr="00342EC2">
        <w:rPr>
          <w:rFonts w:hint="eastAsia"/>
          <w:sz w:val="24"/>
        </w:rPr>
        <w:t>第１１</w:t>
      </w:r>
      <w:r w:rsidR="0030549F" w:rsidRPr="00342EC2">
        <w:rPr>
          <w:rFonts w:hint="eastAsia"/>
          <w:sz w:val="24"/>
        </w:rPr>
        <w:t>条　市長は、落札者を決定したときは、速やかに当該落札者に通知するとともに入札結果を公表する。</w:t>
      </w:r>
    </w:p>
    <w:p w:rsidR="0030549F" w:rsidRPr="00342EC2" w:rsidRDefault="0030549F">
      <w:pPr>
        <w:ind w:leftChars="114" w:left="239"/>
        <w:rPr>
          <w:sz w:val="24"/>
        </w:rPr>
      </w:pPr>
      <w:r w:rsidRPr="00342EC2">
        <w:rPr>
          <w:rFonts w:hint="eastAsia"/>
          <w:sz w:val="24"/>
        </w:rPr>
        <w:t>（その他）</w:t>
      </w:r>
    </w:p>
    <w:p w:rsidR="0030549F" w:rsidRPr="00342EC2" w:rsidRDefault="00A73F76">
      <w:pPr>
        <w:ind w:left="240" w:hangingChars="100" w:hanging="240"/>
        <w:rPr>
          <w:sz w:val="24"/>
        </w:rPr>
      </w:pPr>
      <w:r w:rsidRPr="00342EC2">
        <w:rPr>
          <w:rFonts w:hint="eastAsia"/>
          <w:sz w:val="24"/>
        </w:rPr>
        <w:t>第１２</w:t>
      </w:r>
      <w:r w:rsidR="0030549F" w:rsidRPr="00342EC2">
        <w:rPr>
          <w:rFonts w:hint="eastAsia"/>
          <w:sz w:val="24"/>
        </w:rPr>
        <w:t>条　この要綱に定めるもののほか、必要な事項は市長が別に定める。</w:t>
      </w:r>
    </w:p>
    <w:p w:rsidR="0030549F" w:rsidRPr="00342EC2" w:rsidRDefault="0030549F">
      <w:pPr>
        <w:rPr>
          <w:sz w:val="24"/>
        </w:rPr>
      </w:pPr>
    </w:p>
    <w:p w:rsidR="0030549F" w:rsidRPr="00342EC2" w:rsidRDefault="0030549F">
      <w:pPr>
        <w:rPr>
          <w:sz w:val="24"/>
        </w:rPr>
      </w:pPr>
      <w:r w:rsidRPr="00342EC2">
        <w:rPr>
          <w:rFonts w:hint="eastAsia"/>
          <w:sz w:val="24"/>
        </w:rPr>
        <w:t xml:space="preserve">　　　附　則</w:t>
      </w:r>
    </w:p>
    <w:p w:rsidR="0030549F" w:rsidRPr="00342EC2" w:rsidRDefault="0030549F">
      <w:pPr>
        <w:ind w:firstLineChars="100" w:firstLine="240"/>
        <w:rPr>
          <w:sz w:val="24"/>
        </w:rPr>
      </w:pPr>
      <w:r w:rsidRPr="00342EC2">
        <w:rPr>
          <w:rFonts w:hint="eastAsia"/>
          <w:sz w:val="24"/>
        </w:rPr>
        <w:t>この訓令は、平成１９年９月２８日から施行する。ただし、第２条第２号の規定は、平成２０年４月１日から施行する。</w:t>
      </w:r>
    </w:p>
    <w:p w:rsidR="0030549F" w:rsidRPr="00342EC2" w:rsidRDefault="0030549F">
      <w:pPr>
        <w:ind w:firstLineChars="100" w:firstLine="240"/>
        <w:rPr>
          <w:sz w:val="24"/>
        </w:rPr>
      </w:pPr>
      <w:r w:rsidRPr="00342EC2">
        <w:rPr>
          <w:rFonts w:hint="eastAsia"/>
          <w:sz w:val="24"/>
        </w:rPr>
        <w:t xml:space="preserve">　　附　則（平成２０年６月３０日）</w:t>
      </w:r>
    </w:p>
    <w:p w:rsidR="0030549F" w:rsidRPr="00342EC2" w:rsidRDefault="0030549F">
      <w:pPr>
        <w:ind w:firstLineChars="100" w:firstLine="240"/>
        <w:rPr>
          <w:sz w:val="24"/>
        </w:rPr>
      </w:pPr>
      <w:r w:rsidRPr="00342EC2">
        <w:rPr>
          <w:rFonts w:hint="eastAsia"/>
          <w:sz w:val="24"/>
        </w:rPr>
        <w:t>この訓令は、令達の日から施行する。</w:t>
      </w:r>
    </w:p>
    <w:p w:rsidR="0030549F" w:rsidRPr="00342EC2" w:rsidRDefault="0030549F">
      <w:pPr>
        <w:ind w:firstLineChars="100" w:firstLine="240"/>
        <w:rPr>
          <w:sz w:val="24"/>
        </w:rPr>
      </w:pPr>
      <w:r w:rsidRPr="00342EC2">
        <w:rPr>
          <w:rFonts w:hint="eastAsia"/>
          <w:sz w:val="24"/>
        </w:rPr>
        <w:t xml:space="preserve">　　附　則（平成２１年１月９日）</w:t>
      </w:r>
    </w:p>
    <w:p w:rsidR="0030549F" w:rsidRPr="00342EC2" w:rsidRDefault="0030549F">
      <w:pPr>
        <w:ind w:firstLineChars="100" w:firstLine="240"/>
        <w:rPr>
          <w:sz w:val="24"/>
        </w:rPr>
      </w:pPr>
      <w:r w:rsidRPr="00342EC2">
        <w:rPr>
          <w:rFonts w:hint="eastAsia"/>
          <w:sz w:val="24"/>
        </w:rPr>
        <w:t>この訓令は、平成２１年３月１日から施行する。</w:t>
      </w:r>
    </w:p>
    <w:p w:rsidR="00E003EF" w:rsidRPr="00342EC2" w:rsidRDefault="00E003EF" w:rsidP="00E003EF">
      <w:pPr>
        <w:ind w:firstLineChars="100" w:firstLine="240"/>
        <w:rPr>
          <w:sz w:val="24"/>
        </w:rPr>
      </w:pPr>
      <w:r w:rsidRPr="00342EC2">
        <w:rPr>
          <w:rFonts w:hint="eastAsia"/>
          <w:sz w:val="24"/>
        </w:rPr>
        <w:t xml:space="preserve">　　附　則（平成２８年１１月２１日）</w:t>
      </w:r>
    </w:p>
    <w:p w:rsidR="00E003EF" w:rsidRPr="00342EC2" w:rsidRDefault="00E003EF" w:rsidP="00E003EF">
      <w:pPr>
        <w:ind w:firstLineChars="100" w:firstLine="240"/>
        <w:rPr>
          <w:sz w:val="24"/>
        </w:rPr>
      </w:pPr>
      <w:r w:rsidRPr="00342EC2">
        <w:rPr>
          <w:rFonts w:hint="eastAsia"/>
          <w:sz w:val="24"/>
        </w:rPr>
        <w:t>この訓令は、</w:t>
      </w:r>
      <w:r w:rsidR="00CD3EEC" w:rsidRPr="00342EC2">
        <w:rPr>
          <w:rFonts w:hint="eastAsia"/>
          <w:sz w:val="24"/>
        </w:rPr>
        <w:t>平成２８年１１月２１日</w:t>
      </w:r>
      <w:r w:rsidRPr="00342EC2">
        <w:rPr>
          <w:rFonts w:hint="eastAsia"/>
          <w:sz w:val="24"/>
        </w:rPr>
        <w:t>から施行する。</w:t>
      </w:r>
    </w:p>
    <w:p w:rsidR="00CD3EEC" w:rsidRPr="00342EC2" w:rsidRDefault="00CD3EEC" w:rsidP="00CD3EEC">
      <w:pPr>
        <w:ind w:firstLineChars="100" w:firstLine="240"/>
        <w:rPr>
          <w:sz w:val="24"/>
        </w:rPr>
      </w:pPr>
      <w:r w:rsidRPr="00342EC2">
        <w:rPr>
          <w:rFonts w:hint="eastAsia"/>
          <w:sz w:val="24"/>
        </w:rPr>
        <w:t xml:space="preserve">　　附　則（平成</w:t>
      </w:r>
      <w:r w:rsidR="00BF4584" w:rsidRPr="00342EC2">
        <w:rPr>
          <w:rFonts w:hint="eastAsia"/>
          <w:sz w:val="24"/>
        </w:rPr>
        <w:t>３０</w:t>
      </w:r>
      <w:r w:rsidR="00694E07" w:rsidRPr="00342EC2">
        <w:rPr>
          <w:rFonts w:hint="eastAsia"/>
          <w:sz w:val="24"/>
        </w:rPr>
        <w:t>年</w:t>
      </w:r>
      <w:r w:rsidR="00C75170" w:rsidRPr="00342EC2">
        <w:rPr>
          <w:rFonts w:hint="eastAsia"/>
          <w:sz w:val="24"/>
        </w:rPr>
        <w:t>６</w:t>
      </w:r>
      <w:r w:rsidRPr="00342EC2">
        <w:rPr>
          <w:rFonts w:hint="eastAsia"/>
          <w:sz w:val="24"/>
        </w:rPr>
        <w:t>月</w:t>
      </w:r>
      <w:r w:rsidR="00C75170" w:rsidRPr="00342EC2">
        <w:rPr>
          <w:rFonts w:hint="eastAsia"/>
          <w:sz w:val="24"/>
        </w:rPr>
        <w:t>２１</w:t>
      </w:r>
      <w:r w:rsidRPr="00342EC2">
        <w:rPr>
          <w:rFonts w:hint="eastAsia"/>
          <w:sz w:val="24"/>
        </w:rPr>
        <w:t>日）</w:t>
      </w:r>
    </w:p>
    <w:p w:rsidR="00CD3EEC" w:rsidRPr="00342EC2" w:rsidRDefault="00CD3EEC" w:rsidP="00CD3EEC">
      <w:pPr>
        <w:ind w:firstLineChars="100" w:firstLine="240"/>
        <w:rPr>
          <w:sz w:val="24"/>
        </w:rPr>
      </w:pPr>
      <w:r w:rsidRPr="00342EC2">
        <w:rPr>
          <w:rFonts w:hint="eastAsia"/>
          <w:sz w:val="24"/>
        </w:rPr>
        <w:t>この訓令は、令達の日から施行する。</w:t>
      </w:r>
    </w:p>
    <w:p w:rsidR="00802424" w:rsidRPr="00342EC2" w:rsidRDefault="00694E07" w:rsidP="00802424">
      <w:pPr>
        <w:ind w:firstLineChars="300" w:firstLine="720"/>
        <w:rPr>
          <w:sz w:val="24"/>
        </w:rPr>
      </w:pPr>
      <w:r w:rsidRPr="00342EC2">
        <w:rPr>
          <w:rFonts w:hint="eastAsia"/>
          <w:sz w:val="24"/>
        </w:rPr>
        <w:lastRenderedPageBreak/>
        <w:t>附　則（令和４年２月２４</w:t>
      </w:r>
      <w:r w:rsidR="00802424" w:rsidRPr="00342EC2">
        <w:rPr>
          <w:rFonts w:hint="eastAsia"/>
          <w:sz w:val="24"/>
        </w:rPr>
        <w:t>日）</w:t>
      </w:r>
    </w:p>
    <w:p w:rsidR="0030549F" w:rsidRPr="00342EC2" w:rsidRDefault="00802424" w:rsidP="00802424">
      <w:pPr>
        <w:ind w:firstLineChars="100" w:firstLine="240"/>
        <w:rPr>
          <w:sz w:val="24"/>
        </w:rPr>
      </w:pPr>
      <w:r w:rsidRPr="00342EC2">
        <w:rPr>
          <w:rFonts w:hint="eastAsia"/>
          <w:sz w:val="24"/>
        </w:rPr>
        <w:t>この訓令は、令和４年４月１日から施行する。</w:t>
      </w:r>
    </w:p>
    <w:p w:rsidR="005B1782" w:rsidRPr="00342EC2" w:rsidRDefault="005B1782" w:rsidP="005B1782">
      <w:pPr>
        <w:ind w:firstLineChars="300" w:firstLine="720"/>
        <w:rPr>
          <w:sz w:val="24"/>
        </w:rPr>
      </w:pPr>
      <w:r w:rsidRPr="00342EC2">
        <w:rPr>
          <w:rFonts w:hint="eastAsia"/>
          <w:sz w:val="24"/>
        </w:rPr>
        <w:t>附　則（令和</w:t>
      </w:r>
      <w:r w:rsidR="00190359" w:rsidRPr="00342EC2">
        <w:rPr>
          <w:rFonts w:hint="eastAsia"/>
          <w:sz w:val="24"/>
        </w:rPr>
        <w:t>６</w:t>
      </w:r>
      <w:r w:rsidRPr="00342EC2">
        <w:rPr>
          <w:rFonts w:hint="eastAsia"/>
          <w:sz w:val="24"/>
        </w:rPr>
        <w:t>年</w:t>
      </w:r>
      <w:r w:rsidR="00190359" w:rsidRPr="00342EC2">
        <w:rPr>
          <w:rFonts w:hint="eastAsia"/>
          <w:sz w:val="24"/>
        </w:rPr>
        <w:t>６</w:t>
      </w:r>
      <w:r w:rsidRPr="00342EC2">
        <w:rPr>
          <w:rFonts w:hint="eastAsia"/>
          <w:sz w:val="24"/>
        </w:rPr>
        <w:t>月</w:t>
      </w:r>
      <w:r w:rsidR="00190359" w:rsidRPr="00342EC2">
        <w:rPr>
          <w:rFonts w:hint="eastAsia"/>
          <w:sz w:val="24"/>
        </w:rPr>
        <w:t>１８</w:t>
      </w:r>
      <w:r w:rsidRPr="00342EC2">
        <w:rPr>
          <w:rFonts w:hint="eastAsia"/>
          <w:sz w:val="24"/>
        </w:rPr>
        <w:t>日）</w:t>
      </w:r>
    </w:p>
    <w:p w:rsidR="005B1782" w:rsidRPr="00D92066" w:rsidRDefault="005B1782" w:rsidP="005B1782">
      <w:pPr>
        <w:ind w:firstLineChars="100" w:firstLine="240"/>
        <w:rPr>
          <w:sz w:val="24"/>
        </w:rPr>
      </w:pPr>
      <w:r w:rsidRPr="00342EC2">
        <w:rPr>
          <w:rFonts w:hint="eastAsia"/>
          <w:sz w:val="24"/>
        </w:rPr>
        <w:t>この訓令は、令達の日から施行する。</w:t>
      </w:r>
      <w:bookmarkStart w:id="0" w:name="_GoBack"/>
      <w:bookmarkEnd w:id="0"/>
    </w:p>
    <w:p w:rsidR="00B57DD4" w:rsidRPr="005B1782" w:rsidRDefault="00B57DD4">
      <w:pPr>
        <w:ind w:firstLineChars="100" w:firstLine="240"/>
        <w:rPr>
          <w:sz w:val="24"/>
        </w:rPr>
      </w:pPr>
    </w:p>
    <w:p w:rsidR="00B57DD4" w:rsidRPr="00D92066" w:rsidRDefault="00B57DD4">
      <w:pPr>
        <w:ind w:firstLineChars="100" w:firstLine="240"/>
        <w:rPr>
          <w:sz w:val="24"/>
        </w:rPr>
      </w:pPr>
    </w:p>
    <w:p w:rsidR="00B57DD4" w:rsidRPr="00D92066" w:rsidRDefault="00B57DD4">
      <w:pPr>
        <w:ind w:firstLineChars="100" w:firstLine="240"/>
        <w:rPr>
          <w:sz w:val="24"/>
        </w:rPr>
      </w:pPr>
    </w:p>
    <w:p w:rsidR="00B57DD4" w:rsidRPr="00D92066" w:rsidRDefault="00D14621">
      <w:pPr>
        <w:ind w:firstLineChars="100" w:firstLine="240"/>
        <w:rPr>
          <w:sz w:val="24"/>
        </w:rPr>
      </w:pPr>
      <w:r>
        <w:rPr>
          <w:sz w:val="24"/>
        </w:rPr>
        <w:br w:type="page"/>
      </w:r>
      <w:r w:rsidR="00FC57AD" w:rsidRPr="00D92066">
        <w:rPr>
          <w:rFonts w:hint="eastAsia"/>
          <w:sz w:val="24"/>
        </w:rPr>
        <w:lastRenderedPageBreak/>
        <w:t>別紙１（第</w:t>
      </w:r>
      <w:r w:rsidR="00D05A26" w:rsidRPr="00D92066">
        <w:rPr>
          <w:rFonts w:hint="eastAsia"/>
          <w:sz w:val="24"/>
        </w:rPr>
        <w:t>３</w:t>
      </w:r>
      <w:r w:rsidR="00FC57AD" w:rsidRPr="00D92066">
        <w:rPr>
          <w:rFonts w:hint="eastAsia"/>
          <w:sz w:val="24"/>
        </w:rPr>
        <w:t>条関係）</w:t>
      </w:r>
    </w:p>
    <w:p w:rsidR="00B57DD4" w:rsidRPr="00D92066" w:rsidRDefault="00B57DD4">
      <w:pPr>
        <w:ind w:firstLineChars="100" w:firstLine="240"/>
        <w:rPr>
          <w:sz w:val="24"/>
        </w:rPr>
      </w:pPr>
    </w:p>
    <w:p w:rsidR="005B2B3C" w:rsidRPr="00D92066" w:rsidRDefault="00FC57AD" w:rsidP="004D7806">
      <w:pPr>
        <w:ind w:firstLineChars="100" w:firstLine="240"/>
        <w:rPr>
          <w:sz w:val="24"/>
        </w:rPr>
      </w:pPr>
      <w:r w:rsidRPr="00D92066">
        <w:rPr>
          <w:rFonts w:hint="eastAsia"/>
          <w:sz w:val="24"/>
        </w:rPr>
        <w:t>指定封筒</w:t>
      </w:r>
      <w:r w:rsidR="00725282" w:rsidRPr="00D92066">
        <w:rPr>
          <w:rFonts w:hint="eastAsia"/>
          <w:sz w:val="24"/>
        </w:rPr>
        <w:t>（表）</w:t>
      </w:r>
    </w:p>
    <w:p w:rsidR="00725282" w:rsidRPr="00D92066" w:rsidRDefault="0047726E" w:rsidP="00214AEF">
      <w:pPr>
        <w:ind w:firstLineChars="100" w:firstLine="210"/>
        <w:rPr>
          <w:sz w:val="24"/>
        </w:rPr>
      </w:pPr>
      <w:r w:rsidRPr="00D155CF">
        <w:rPr>
          <w:noProof/>
        </w:rPr>
        <w:drawing>
          <wp:inline distT="0" distB="0" distL="0" distR="0">
            <wp:extent cx="5401945" cy="27971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945" cy="2797175"/>
                    </a:xfrm>
                    <a:prstGeom prst="rect">
                      <a:avLst/>
                    </a:prstGeom>
                    <a:noFill/>
                    <a:ln>
                      <a:noFill/>
                    </a:ln>
                  </pic:spPr>
                </pic:pic>
              </a:graphicData>
            </a:graphic>
          </wp:inline>
        </w:drawing>
      </w:r>
    </w:p>
    <w:p w:rsidR="00725282" w:rsidRPr="00D92066" w:rsidRDefault="00725282">
      <w:pPr>
        <w:ind w:firstLineChars="100" w:firstLine="240"/>
        <w:rPr>
          <w:sz w:val="24"/>
        </w:rPr>
      </w:pPr>
    </w:p>
    <w:p w:rsidR="00725282" w:rsidRPr="00D92066" w:rsidRDefault="00725282" w:rsidP="00725282">
      <w:pPr>
        <w:ind w:firstLineChars="100" w:firstLine="240"/>
        <w:rPr>
          <w:sz w:val="24"/>
        </w:rPr>
      </w:pPr>
      <w:r w:rsidRPr="00D92066">
        <w:rPr>
          <w:rFonts w:hint="eastAsia"/>
          <w:sz w:val="24"/>
        </w:rPr>
        <w:t>指定封筒（裏）</w:t>
      </w:r>
    </w:p>
    <w:p w:rsidR="00725282" w:rsidRPr="00D92066" w:rsidRDefault="0047726E" w:rsidP="00AC48B7">
      <w:pPr>
        <w:ind w:firstLineChars="100" w:firstLine="210"/>
      </w:pPr>
      <w:r w:rsidRPr="00D155CF">
        <w:rPr>
          <w:noProof/>
        </w:rPr>
        <w:drawing>
          <wp:inline distT="0" distB="0" distL="0" distR="0">
            <wp:extent cx="5401945" cy="272542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945" cy="2725420"/>
                    </a:xfrm>
                    <a:prstGeom prst="rect">
                      <a:avLst/>
                    </a:prstGeom>
                    <a:noFill/>
                    <a:ln>
                      <a:noFill/>
                    </a:ln>
                  </pic:spPr>
                </pic:pic>
              </a:graphicData>
            </a:graphic>
          </wp:inline>
        </w:drawing>
      </w:r>
    </w:p>
    <w:p w:rsidR="004D7806" w:rsidRPr="00D92066" w:rsidRDefault="00317FA3" w:rsidP="00E80D3E">
      <w:pPr>
        <w:ind w:left="240" w:hangingChars="100" w:hanging="240"/>
        <w:rPr>
          <w:sz w:val="24"/>
        </w:rPr>
      </w:pPr>
      <w:r w:rsidRPr="00D92066">
        <w:rPr>
          <w:rFonts w:hint="eastAsia"/>
          <w:sz w:val="24"/>
        </w:rPr>
        <w:t>・</w:t>
      </w:r>
      <w:r w:rsidR="004D7806" w:rsidRPr="00D92066">
        <w:rPr>
          <w:rFonts w:hint="eastAsia"/>
          <w:sz w:val="24"/>
        </w:rPr>
        <w:t>指定封筒は、入札担当課から配布されたもの、もしくは、</w:t>
      </w:r>
      <w:r w:rsidR="00BF4584" w:rsidRPr="00D92066">
        <w:rPr>
          <w:rFonts w:hint="eastAsia"/>
          <w:sz w:val="24"/>
        </w:rPr>
        <w:t>同内容を</w:t>
      </w:r>
      <w:r w:rsidR="006C05E0" w:rsidRPr="00D92066">
        <w:rPr>
          <w:rFonts w:hint="eastAsia"/>
          <w:sz w:val="24"/>
        </w:rPr>
        <w:t>記載</w:t>
      </w:r>
      <w:r w:rsidRPr="00D92066">
        <w:rPr>
          <w:rFonts w:hint="eastAsia"/>
          <w:sz w:val="24"/>
        </w:rPr>
        <w:t>し</w:t>
      </w:r>
      <w:r w:rsidR="006C05E0" w:rsidRPr="00D92066">
        <w:rPr>
          <w:rFonts w:hint="eastAsia"/>
          <w:sz w:val="24"/>
        </w:rPr>
        <w:t>たものとする。</w:t>
      </w:r>
    </w:p>
    <w:p w:rsidR="0018782A" w:rsidRDefault="00317FA3" w:rsidP="00317FA3">
      <w:pPr>
        <w:rPr>
          <w:sz w:val="24"/>
        </w:rPr>
      </w:pPr>
      <w:r w:rsidRPr="00D92066">
        <w:rPr>
          <w:rFonts w:hint="eastAsia"/>
          <w:sz w:val="24"/>
        </w:rPr>
        <w:t>・</w:t>
      </w:r>
      <w:r w:rsidR="00745BCF" w:rsidRPr="00D92066">
        <w:rPr>
          <w:rFonts w:hint="eastAsia"/>
          <w:sz w:val="24"/>
        </w:rPr>
        <w:t>使用する</w:t>
      </w:r>
      <w:r w:rsidR="006C05E0" w:rsidRPr="00D92066">
        <w:rPr>
          <w:rFonts w:hint="eastAsia"/>
          <w:sz w:val="24"/>
        </w:rPr>
        <w:t>封筒は長形３号</w:t>
      </w:r>
      <w:r w:rsidR="00745BCF" w:rsidRPr="00D92066">
        <w:rPr>
          <w:rFonts w:hint="eastAsia"/>
          <w:sz w:val="24"/>
        </w:rPr>
        <w:t>で内容の見えないもの</w:t>
      </w:r>
      <w:r w:rsidR="006C05E0" w:rsidRPr="00D92066">
        <w:rPr>
          <w:rFonts w:hint="eastAsia"/>
          <w:sz w:val="24"/>
        </w:rPr>
        <w:t>とする。</w:t>
      </w:r>
    </w:p>
    <w:p w:rsidR="00317FA3" w:rsidRDefault="0018782A" w:rsidP="00D92066">
      <w:pPr>
        <w:ind w:firstLineChars="100" w:firstLine="240"/>
      </w:pPr>
      <w:r>
        <w:rPr>
          <w:sz w:val="24"/>
        </w:rPr>
        <w:br w:type="page"/>
      </w:r>
      <w:r>
        <w:rPr>
          <w:rFonts w:hint="eastAsia"/>
        </w:rPr>
        <w:lastRenderedPageBreak/>
        <w:t>別紙２（第６</w:t>
      </w:r>
      <w:r w:rsidR="008C462C">
        <w:rPr>
          <w:rFonts w:hint="eastAsia"/>
        </w:rPr>
        <w:t>条</w:t>
      </w:r>
      <w:r>
        <w:rPr>
          <w:rFonts w:hint="eastAsia"/>
        </w:rPr>
        <w:t>関係）</w:t>
      </w:r>
    </w:p>
    <w:p w:rsidR="008C462C" w:rsidRDefault="008C462C" w:rsidP="00D92066">
      <w:pPr>
        <w:ind w:firstLineChars="100" w:firstLine="210"/>
      </w:pPr>
    </w:p>
    <w:p w:rsidR="0018782A" w:rsidRDefault="008C462C" w:rsidP="00D92066">
      <w:pPr>
        <w:ind w:firstLineChars="100" w:firstLine="210"/>
      </w:pPr>
      <w:r>
        <w:rPr>
          <w:rFonts w:hint="eastAsia"/>
        </w:rPr>
        <w:t xml:space="preserve">　　　　　　　　　　　　　</w:t>
      </w:r>
      <w:r w:rsidR="0018782A">
        <w:rPr>
          <w:rFonts w:hint="eastAsia"/>
        </w:rPr>
        <w:t>入札立会人</w:t>
      </w:r>
      <w:r w:rsidR="00B833A0">
        <w:rPr>
          <w:rFonts w:hint="eastAsia"/>
        </w:rPr>
        <w:t>選任</w:t>
      </w:r>
      <w:r w:rsidR="0018782A">
        <w:rPr>
          <w:rFonts w:hint="eastAsia"/>
        </w:rPr>
        <w:t>方法</w:t>
      </w:r>
    </w:p>
    <w:p w:rsidR="00B833A0" w:rsidRDefault="00B833A0" w:rsidP="00D92066">
      <w:pPr>
        <w:ind w:firstLineChars="100" w:firstLine="210"/>
      </w:pPr>
    </w:p>
    <w:p w:rsidR="00B833A0" w:rsidRDefault="00B833A0" w:rsidP="008C462C">
      <w:pPr>
        <w:ind w:left="283" w:hangingChars="135" w:hanging="283"/>
      </w:pPr>
      <w:r>
        <w:rPr>
          <w:rFonts w:hint="eastAsia"/>
        </w:rPr>
        <w:t>１　立会人として選任する入札参加業者の通し番号の付番方法。ただし、事前に辞退届の提出のある業者は除く。</w:t>
      </w:r>
    </w:p>
    <w:p w:rsidR="00B833A0" w:rsidRDefault="00B833A0" w:rsidP="008C462C">
      <w:pPr>
        <w:ind w:left="283" w:hangingChars="135" w:hanging="283"/>
      </w:pPr>
      <w:r>
        <w:rPr>
          <w:rFonts w:hint="eastAsia"/>
        </w:rPr>
        <w:t>（１）制限付一般競争入札の場合は、入札参加申請の受付順</w:t>
      </w:r>
    </w:p>
    <w:p w:rsidR="00B833A0" w:rsidRDefault="00B833A0" w:rsidP="008C462C">
      <w:pPr>
        <w:ind w:left="283" w:hangingChars="135" w:hanging="283"/>
      </w:pPr>
      <w:r>
        <w:rPr>
          <w:rFonts w:hint="eastAsia"/>
        </w:rPr>
        <w:t>（２）公募型指名競争入札の場合は、入札参加申請の受付順</w:t>
      </w:r>
    </w:p>
    <w:p w:rsidR="00B833A0" w:rsidRDefault="00B833A0" w:rsidP="008C462C">
      <w:pPr>
        <w:ind w:left="283" w:hangingChars="135" w:hanging="283"/>
      </w:pPr>
      <w:r>
        <w:rPr>
          <w:rFonts w:hint="eastAsia"/>
        </w:rPr>
        <w:t>（３）通常の指名競争入札の場合は、入札関係図書配付通知書（ＦＡＸ</w:t>
      </w:r>
      <w:r w:rsidR="007E307F">
        <w:rPr>
          <w:rFonts w:hint="eastAsia"/>
        </w:rPr>
        <w:t>等</w:t>
      </w:r>
      <w:r>
        <w:rPr>
          <w:rFonts w:hint="eastAsia"/>
        </w:rPr>
        <w:t>）の返信確認順</w:t>
      </w:r>
    </w:p>
    <w:p w:rsidR="00B833A0" w:rsidRDefault="00B833A0" w:rsidP="008C462C">
      <w:pPr>
        <w:ind w:left="283" w:hangingChars="135" w:hanging="283"/>
      </w:pPr>
    </w:p>
    <w:p w:rsidR="00B833A0" w:rsidRDefault="00B833A0" w:rsidP="008C462C">
      <w:pPr>
        <w:ind w:left="283" w:hangingChars="135" w:hanging="283"/>
      </w:pPr>
      <w:r>
        <w:rPr>
          <w:rFonts w:hint="eastAsia"/>
        </w:rPr>
        <w:t>２　入札参加業者数に応じて立会人として選任する業者の通し番号。</w:t>
      </w:r>
    </w:p>
    <w:p w:rsidR="00B833A0" w:rsidRDefault="00B833A0" w:rsidP="008C462C">
      <w:pPr>
        <w:ind w:left="283" w:hangingChars="135" w:hanging="283"/>
      </w:pPr>
      <w:r>
        <w:rPr>
          <w:rFonts w:hint="eastAsia"/>
        </w:rPr>
        <w:t>（１）入札参加</w:t>
      </w:r>
      <w:r w:rsidR="007E307F" w:rsidRPr="007B6A14">
        <w:rPr>
          <w:rFonts w:hint="eastAsia"/>
          <w:highlight w:val="yellow"/>
        </w:rPr>
        <w:t>業</w:t>
      </w:r>
      <w:r>
        <w:rPr>
          <w:rFonts w:hint="eastAsia"/>
        </w:rPr>
        <w:t>者数に応じて下記の表により該当した通し番号の２者を立会い業者とする。</w:t>
      </w:r>
    </w:p>
    <w:p w:rsidR="00B833A0" w:rsidRDefault="00B833A0" w:rsidP="00D92066">
      <w:pPr>
        <w:ind w:firstLineChars="100" w:firstLine="210"/>
      </w:pPr>
    </w:p>
    <w:tbl>
      <w:tblPr>
        <w:tblW w:w="0" w:type="auto"/>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396"/>
      </w:tblGrid>
      <w:tr w:rsidR="00B833A0" w:rsidRPr="007F1108" w:rsidTr="007F1108">
        <w:tc>
          <w:tcPr>
            <w:tcW w:w="3227" w:type="dxa"/>
            <w:shd w:val="clear" w:color="auto" w:fill="auto"/>
            <w:vAlign w:val="center"/>
          </w:tcPr>
          <w:p w:rsidR="00B833A0" w:rsidRPr="007F1108" w:rsidRDefault="00B833A0" w:rsidP="007F1108">
            <w:pPr>
              <w:jc w:val="center"/>
              <w:rPr>
                <w:szCs w:val="21"/>
              </w:rPr>
            </w:pPr>
            <w:r w:rsidRPr="007F1108">
              <w:rPr>
                <w:rFonts w:hint="eastAsia"/>
                <w:szCs w:val="21"/>
              </w:rPr>
              <w:t>入札参加</w:t>
            </w:r>
            <w:r w:rsidR="007E307F" w:rsidRPr="007B6A14">
              <w:rPr>
                <w:rFonts w:hint="eastAsia"/>
                <w:szCs w:val="21"/>
                <w:highlight w:val="yellow"/>
              </w:rPr>
              <w:t>業</w:t>
            </w:r>
            <w:r w:rsidRPr="007F1108">
              <w:rPr>
                <w:rFonts w:hint="eastAsia"/>
                <w:szCs w:val="21"/>
              </w:rPr>
              <w:t>者数</w:t>
            </w:r>
          </w:p>
        </w:tc>
        <w:tc>
          <w:tcPr>
            <w:tcW w:w="2396" w:type="dxa"/>
            <w:shd w:val="clear" w:color="auto" w:fill="auto"/>
            <w:vAlign w:val="center"/>
          </w:tcPr>
          <w:p w:rsidR="00B833A0" w:rsidRPr="007F1108" w:rsidRDefault="00B833A0" w:rsidP="007F1108">
            <w:pPr>
              <w:jc w:val="center"/>
              <w:rPr>
                <w:szCs w:val="21"/>
              </w:rPr>
            </w:pPr>
            <w:r w:rsidRPr="007F1108">
              <w:rPr>
                <w:rFonts w:hint="eastAsia"/>
                <w:szCs w:val="21"/>
              </w:rPr>
              <w:t>立会人として選任する者の通し番号</w:t>
            </w:r>
          </w:p>
        </w:tc>
      </w:tr>
      <w:tr w:rsidR="00B833A0" w:rsidRPr="007F1108" w:rsidTr="007F1108">
        <w:tc>
          <w:tcPr>
            <w:tcW w:w="3227" w:type="dxa"/>
            <w:shd w:val="clear" w:color="auto" w:fill="auto"/>
          </w:tcPr>
          <w:p w:rsidR="00B833A0" w:rsidRPr="007F1108" w:rsidRDefault="00B833A0" w:rsidP="00D92066">
            <w:pPr>
              <w:rPr>
                <w:szCs w:val="21"/>
              </w:rPr>
            </w:pPr>
            <w:r w:rsidRPr="007F1108">
              <w:rPr>
                <w:rFonts w:hint="eastAsia"/>
                <w:szCs w:val="21"/>
              </w:rPr>
              <w:t xml:space="preserve">　２者</w:t>
            </w:r>
          </w:p>
        </w:tc>
        <w:tc>
          <w:tcPr>
            <w:tcW w:w="2396" w:type="dxa"/>
            <w:shd w:val="clear" w:color="auto" w:fill="auto"/>
          </w:tcPr>
          <w:p w:rsidR="00B833A0" w:rsidRPr="007F1108" w:rsidRDefault="00B833A0" w:rsidP="00B833A0">
            <w:pPr>
              <w:rPr>
                <w:szCs w:val="21"/>
              </w:rPr>
            </w:pPr>
            <w:r w:rsidRPr="007F1108">
              <w:rPr>
                <w:rFonts w:hint="eastAsia"/>
                <w:szCs w:val="21"/>
              </w:rPr>
              <w:t xml:space="preserve">　　１、　２</w:t>
            </w:r>
          </w:p>
        </w:tc>
      </w:tr>
      <w:tr w:rsidR="00B833A0" w:rsidRPr="007F1108" w:rsidTr="007F1108">
        <w:tc>
          <w:tcPr>
            <w:tcW w:w="3227" w:type="dxa"/>
            <w:shd w:val="clear" w:color="auto" w:fill="auto"/>
          </w:tcPr>
          <w:p w:rsidR="00B833A0" w:rsidRPr="007F1108" w:rsidRDefault="00B833A0" w:rsidP="00B833A0">
            <w:pPr>
              <w:rPr>
                <w:szCs w:val="21"/>
              </w:rPr>
            </w:pPr>
            <w:r w:rsidRPr="007F1108">
              <w:rPr>
                <w:rFonts w:hint="eastAsia"/>
                <w:szCs w:val="21"/>
              </w:rPr>
              <w:t xml:space="preserve">　３者以上　　５者以下</w:t>
            </w:r>
          </w:p>
        </w:tc>
        <w:tc>
          <w:tcPr>
            <w:tcW w:w="2396" w:type="dxa"/>
            <w:shd w:val="clear" w:color="auto" w:fill="auto"/>
          </w:tcPr>
          <w:p w:rsidR="00B833A0" w:rsidRPr="007F1108" w:rsidRDefault="00B833A0" w:rsidP="00D92066">
            <w:pPr>
              <w:rPr>
                <w:szCs w:val="21"/>
              </w:rPr>
            </w:pPr>
            <w:r w:rsidRPr="007F1108">
              <w:rPr>
                <w:rFonts w:hint="eastAsia"/>
                <w:szCs w:val="21"/>
              </w:rPr>
              <w:t xml:space="preserve">　　２、　３</w:t>
            </w:r>
          </w:p>
        </w:tc>
      </w:tr>
      <w:tr w:rsidR="00B833A0" w:rsidRPr="007F1108" w:rsidTr="007F1108">
        <w:tc>
          <w:tcPr>
            <w:tcW w:w="3227" w:type="dxa"/>
            <w:shd w:val="clear" w:color="auto" w:fill="auto"/>
          </w:tcPr>
          <w:p w:rsidR="00B833A0" w:rsidRPr="007F1108" w:rsidRDefault="00B833A0" w:rsidP="00B833A0">
            <w:pPr>
              <w:rPr>
                <w:szCs w:val="21"/>
              </w:rPr>
            </w:pPr>
            <w:r w:rsidRPr="007F1108">
              <w:rPr>
                <w:rFonts w:hint="eastAsia"/>
                <w:szCs w:val="21"/>
              </w:rPr>
              <w:t xml:space="preserve">　６者以上　　７者以下</w:t>
            </w:r>
          </w:p>
        </w:tc>
        <w:tc>
          <w:tcPr>
            <w:tcW w:w="2396" w:type="dxa"/>
            <w:shd w:val="clear" w:color="auto" w:fill="auto"/>
          </w:tcPr>
          <w:p w:rsidR="00B833A0" w:rsidRPr="007F1108" w:rsidRDefault="00B833A0" w:rsidP="00D92066">
            <w:pPr>
              <w:rPr>
                <w:szCs w:val="21"/>
              </w:rPr>
            </w:pPr>
            <w:r w:rsidRPr="007F1108">
              <w:rPr>
                <w:rFonts w:hint="eastAsia"/>
                <w:szCs w:val="21"/>
              </w:rPr>
              <w:t xml:space="preserve">　　３、　６</w:t>
            </w:r>
          </w:p>
        </w:tc>
      </w:tr>
      <w:tr w:rsidR="00B833A0" w:rsidRPr="007F1108" w:rsidTr="007F1108">
        <w:tc>
          <w:tcPr>
            <w:tcW w:w="3227" w:type="dxa"/>
            <w:shd w:val="clear" w:color="auto" w:fill="auto"/>
          </w:tcPr>
          <w:p w:rsidR="00B833A0" w:rsidRPr="007F1108" w:rsidRDefault="00B833A0" w:rsidP="00B833A0">
            <w:pPr>
              <w:rPr>
                <w:szCs w:val="21"/>
              </w:rPr>
            </w:pPr>
            <w:r w:rsidRPr="007F1108">
              <w:rPr>
                <w:rFonts w:hint="eastAsia"/>
                <w:szCs w:val="21"/>
              </w:rPr>
              <w:t xml:space="preserve">　８者以上　１０者以下</w:t>
            </w:r>
          </w:p>
        </w:tc>
        <w:tc>
          <w:tcPr>
            <w:tcW w:w="2396" w:type="dxa"/>
            <w:shd w:val="clear" w:color="auto" w:fill="auto"/>
          </w:tcPr>
          <w:p w:rsidR="00B833A0" w:rsidRPr="007F1108" w:rsidRDefault="00B833A0" w:rsidP="00D92066">
            <w:pPr>
              <w:rPr>
                <w:szCs w:val="21"/>
              </w:rPr>
            </w:pPr>
            <w:r w:rsidRPr="007F1108">
              <w:rPr>
                <w:rFonts w:hint="eastAsia"/>
                <w:szCs w:val="21"/>
              </w:rPr>
              <w:t xml:space="preserve">　　４、　８</w:t>
            </w:r>
          </w:p>
        </w:tc>
      </w:tr>
      <w:tr w:rsidR="00B833A0" w:rsidRPr="007F1108" w:rsidTr="007F1108">
        <w:tc>
          <w:tcPr>
            <w:tcW w:w="3227" w:type="dxa"/>
            <w:shd w:val="clear" w:color="auto" w:fill="auto"/>
          </w:tcPr>
          <w:p w:rsidR="00B833A0" w:rsidRPr="007F1108" w:rsidRDefault="00B833A0" w:rsidP="00B833A0">
            <w:pPr>
              <w:rPr>
                <w:szCs w:val="21"/>
              </w:rPr>
            </w:pPr>
            <w:r w:rsidRPr="007F1108">
              <w:rPr>
                <w:rFonts w:hint="eastAsia"/>
                <w:szCs w:val="21"/>
              </w:rPr>
              <w:t>１１者以上　２０者以下</w:t>
            </w:r>
          </w:p>
        </w:tc>
        <w:tc>
          <w:tcPr>
            <w:tcW w:w="2396" w:type="dxa"/>
            <w:shd w:val="clear" w:color="auto" w:fill="auto"/>
          </w:tcPr>
          <w:p w:rsidR="00B833A0" w:rsidRPr="007F1108" w:rsidRDefault="00B833A0" w:rsidP="00D92066">
            <w:pPr>
              <w:rPr>
                <w:szCs w:val="21"/>
              </w:rPr>
            </w:pPr>
            <w:r w:rsidRPr="007F1108">
              <w:rPr>
                <w:rFonts w:hint="eastAsia"/>
                <w:szCs w:val="21"/>
              </w:rPr>
              <w:t xml:space="preserve">　　５、１０</w:t>
            </w:r>
          </w:p>
        </w:tc>
      </w:tr>
      <w:tr w:rsidR="00B833A0" w:rsidRPr="007F1108" w:rsidTr="007F1108">
        <w:tc>
          <w:tcPr>
            <w:tcW w:w="3227" w:type="dxa"/>
            <w:shd w:val="clear" w:color="auto" w:fill="auto"/>
          </w:tcPr>
          <w:p w:rsidR="00B833A0" w:rsidRPr="007F1108" w:rsidRDefault="00B833A0" w:rsidP="00B833A0">
            <w:pPr>
              <w:rPr>
                <w:szCs w:val="21"/>
              </w:rPr>
            </w:pPr>
            <w:r w:rsidRPr="007F1108">
              <w:rPr>
                <w:rFonts w:hint="eastAsia"/>
                <w:szCs w:val="21"/>
              </w:rPr>
              <w:t>２１者以上</w:t>
            </w:r>
          </w:p>
        </w:tc>
        <w:tc>
          <w:tcPr>
            <w:tcW w:w="2396" w:type="dxa"/>
            <w:shd w:val="clear" w:color="auto" w:fill="auto"/>
          </w:tcPr>
          <w:p w:rsidR="00B833A0" w:rsidRPr="007F1108" w:rsidRDefault="00B833A0" w:rsidP="00D92066">
            <w:pPr>
              <w:rPr>
                <w:szCs w:val="21"/>
              </w:rPr>
            </w:pPr>
            <w:r w:rsidRPr="007F1108">
              <w:rPr>
                <w:rFonts w:hint="eastAsia"/>
                <w:szCs w:val="21"/>
              </w:rPr>
              <w:t xml:space="preserve">　１０、２０</w:t>
            </w:r>
          </w:p>
        </w:tc>
      </w:tr>
    </w:tbl>
    <w:p w:rsidR="00B833A0" w:rsidRDefault="00B833A0" w:rsidP="00D92066">
      <w:pPr>
        <w:ind w:firstLineChars="100" w:firstLine="240"/>
        <w:rPr>
          <w:sz w:val="24"/>
        </w:rPr>
      </w:pPr>
    </w:p>
    <w:p w:rsidR="008C462C" w:rsidRPr="008C462C" w:rsidRDefault="008C462C" w:rsidP="008C462C">
      <w:pPr>
        <w:ind w:left="283" w:hangingChars="135" w:hanging="283"/>
      </w:pPr>
      <w:r w:rsidRPr="008C462C">
        <w:rPr>
          <w:rFonts w:hint="eastAsia"/>
        </w:rPr>
        <w:t>（２）立会いを辞退した場合は、次順の通し番号の業者を選任する。最後の通し番号の業者が立会いを辞退した場合は、通し番号１に戻すとする。</w:t>
      </w:r>
    </w:p>
    <w:p w:rsidR="008C462C" w:rsidRPr="008C462C" w:rsidRDefault="008C462C" w:rsidP="008C462C">
      <w:pPr>
        <w:ind w:left="283" w:hangingChars="135" w:hanging="283"/>
      </w:pPr>
      <w:r>
        <w:rPr>
          <w:rFonts w:hint="eastAsia"/>
        </w:rPr>
        <w:t xml:space="preserve">　　</w:t>
      </w:r>
      <w:r w:rsidRPr="008C462C">
        <w:rPr>
          <w:rFonts w:hint="eastAsia"/>
        </w:rPr>
        <w:t>例：①１→２　通し番号１の業者が辞退の場合は、通し番号２の業者を立会人に選任</w:t>
      </w:r>
    </w:p>
    <w:p w:rsidR="008C462C" w:rsidRPr="008C462C" w:rsidRDefault="008C462C" w:rsidP="008C462C">
      <w:pPr>
        <w:ind w:left="283" w:hangingChars="135" w:hanging="283"/>
      </w:pPr>
    </w:p>
    <w:p w:rsidR="008C462C" w:rsidRPr="008C462C" w:rsidRDefault="008C462C" w:rsidP="008C462C">
      <w:pPr>
        <w:ind w:left="283" w:hangingChars="135" w:hanging="283"/>
      </w:pPr>
      <w:r w:rsidRPr="008C462C">
        <w:rPr>
          <w:rFonts w:hint="eastAsia"/>
        </w:rPr>
        <w:t>３　開札日時になっても立会人が全て参集しないとき（立会人の書類不備も含む。）は、当該入札執行者以外の職員が立会い、開札する。</w:t>
      </w:r>
    </w:p>
    <w:sectPr w:rsidR="008C462C" w:rsidRPr="008C462C">
      <w:pgSz w:w="11906" w:h="16838" w:code="9"/>
      <w:pgMar w:top="1985" w:right="1701" w:bottom="1701" w:left="1701" w:header="851" w:footer="992" w:gutter="0"/>
      <w:paperSrc w:first="15" w:other="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924" w:rsidRDefault="00D81924">
      <w:r>
        <w:separator/>
      </w:r>
    </w:p>
  </w:endnote>
  <w:endnote w:type="continuationSeparator" w:id="0">
    <w:p w:rsidR="00D81924" w:rsidRDefault="00D81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924" w:rsidRDefault="00D81924">
      <w:r>
        <w:separator/>
      </w:r>
    </w:p>
  </w:footnote>
  <w:footnote w:type="continuationSeparator" w:id="0">
    <w:p w:rsidR="00D81924" w:rsidRDefault="00D819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95478"/>
    <w:multiLevelType w:val="hybridMultilevel"/>
    <w:tmpl w:val="5834394E"/>
    <w:lvl w:ilvl="0" w:tplc="B0A07DE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491125"/>
    <w:multiLevelType w:val="hybridMultilevel"/>
    <w:tmpl w:val="8894343E"/>
    <w:lvl w:ilvl="0" w:tplc="05A25D10">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E637E6D"/>
    <w:multiLevelType w:val="hybridMultilevel"/>
    <w:tmpl w:val="2A7E8488"/>
    <w:lvl w:ilvl="0" w:tplc="9C46B8BA">
      <w:start w:val="5"/>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EC656A5"/>
    <w:multiLevelType w:val="hybridMultilevel"/>
    <w:tmpl w:val="2DAEBCC2"/>
    <w:lvl w:ilvl="0" w:tplc="D9D0ACCA">
      <w:start w:val="7"/>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2947EA"/>
    <w:multiLevelType w:val="hybridMultilevel"/>
    <w:tmpl w:val="7AC2E338"/>
    <w:lvl w:ilvl="0" w:tplc="DE2E1E5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0B125E4"/>
    <w:multiLevelType w:val="hybridMultilevel"/>
    <w:tmpl w:val="50A2F14C"/>
    <w:lvl w:ilvl="0" w:tplc="9C1A1E06">
      <w:start w:val="1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6" w15:restartNumberingAfterBreak="0">
    <w:nsid w:val="313F0DE4"/>
    <w:multiLevelType w:val="hybridMultilevel"/>
    <w:tmpl w:val="9E70D02E"/>
    <w:lvl w:ilvl="0" w:tplc="7DC451D4">
      <w:start w:val="1"/>
      <w:numFmt w:val="decimalFullWidth"/>
      <w:lvlText w:val="（%1）"/>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15613A5"/>
    <w:multiLevelType w:val="hybridMultilevel"/>
    <w:tmpl w:val="E5CC7380"/>
    <w:lvl w:ilvl="0" w:tplc="1BBEC958">
      <w:start w:val="1"/>
      <w:numFmt w:val="decimalFullWidth"/>
      <w:lvlText w:val="（%1）"/>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2D868EB"/>
    <w:multiLevelType w:val="hybridMultilevel"/>
    <w:tmpl w:val="2A626B3A"/>
    <w:lvl w:ilvl="0" w:tplc="5F467072">
      <w:start w:val="3"/>
      <w:numFmt w:val="decimalFullWidth"/>
      <w:lvlText w:val="（%1）"/>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56261EA"/>
    <w:multiLevelType w:val="hybridMultilevel"/>
    <w:tmpl w:val="24B6DEC2"/>
    <w:lvl w:ilvl="0" w:tplc="01CEA24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AA533A4"/>
    <w:multiLevelType w:val="hybridMultilevel"/>
    <w:tmpl w:val="4AE815CA"/>
    <w:lvl w:ilvl="0" w:tplc="845EA778">
      <w:start w:val="1"/>
      <w:numFmt w:val="decimalFullWidth"/>
      <w:lvlText w:val="（%1）"/>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AAC46BC"/>
    <w:multiLevelType w:val="hybridMultilevel"/>
    <w:tmpl w:val="8222BC18"/>
    <w:lvl w:ilvl="0" w:tplc="BB181A7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E5E0CED"/>
    <w:multiLevelType w:val="hybridMultilevel"/>
    <w:tmpl w:val="8E1C6FB2"/>
    <w:lvl w:ilvl="0" w:tplc="808A8AC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ECC0A8A"/>
    <w:multiLevelType w:val="hybridMultilevel"/>
    <w:tmpl w:val="ED7ADF46"/>
    <w:lvl w:ilvl="0" w:tplc="11AA0010">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3706A1D"/>
    <w:multiLevelType w:val="hybridMultilevel"/>
    <w:tmpl w:val="C4B0259E"/>
    <w:lvl w:ilvl="0" w:tplc="E06C4496">
      <w:start w:val="1"/>
      <w:numFmt w:val="decimalFullWidth"/>
      <w:lvlText w:val="第%1条"/>
      <w:lvlJc w:val="left"/>
      <w:pPr>
        <w:tabs>
          <w:tab w:val="num" w:pos="960"/>
        </w:tabs>
        <w:ind w:left="960" w:hanging="960"/>
      </w:pPr>
      <w:rPr>
        <w:rFonts w:hint="eastAsia"/>
      </w:rPr>
    </w:lvl>
    <w:lvl w:ilvl="1" w:tplc="809C46FC">
      <w:start w:val="1"/>
      <w:numFmt w:val="decimalFullWidth"/>
      <w:lvlText w:val="（%2）"/>
      <w:lvlJc w:val="left"/>
      <w:pPr>
        <w:tabs>
          <w:tab w:val="num" w:pos="1380"/>
        </w:tabs>
        <w:ind w:left="1380" w:hanging="9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4"/>
  </w:num>
  <w:num w:numId="2">
    <w:abstractNumId w:val="9"/>
  </w:num>
  <w:num w:numId="3">
    <w:abstractNumId w:val="1"/>
  </w:num>
  <w:num w:numId="4">
    <w:abstractNumId w:val="10"/>
  </w:num>
  <w:num w:numId="5">
    <w:abstractNumId w:val="4"/>
  </w:num>
  <w:num w:numId="6">
    <w:abstractNumId w:val="11"/>
  </w:num>
  <w:num w:numId="7">
    <w:abstractNumId w:val="12"/>
  </w:num>
  <w:num w:numId="8">
    <w:abstractNumId w:val="5"/>
  </w:num>
  <w:num w:numId="9">
    <w:abstractNumId w:val="0"/>
  </w:num>
  <w:num w:numId="10">
    <w:abstractNumId w:val="8"/>
  </w:num>
  <w:num w:numId="11">
    <w:abstractNumId w:val="7"/>
  </w:num>
  <w:num w:numId="12">
    <w:abstractNumId w:val="6"/>
  </w:num>
  <w:num w:numId="13">
    <w:abstractNumId w:val="3"/>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152"/>
    <w:rsid w:val="00094CCF"/>
    <w:rsid w:val="000D7F3D"/>
    <w:rsid w:val="00103800"/>
    <w:rsid w:val="00126AE9"/>
    <w:rsid w:val="001271DF"/>
    <w:rsid w:val="00154883"/>
    <w:rsid w:val="00161DC9"/>
    <w:rsid w:val="0018782A"/>
    <w:rsid w:val="00190359"/>
    <w:rsid w:val="001B4A5F"/>
    <w:rsid w:val="001B79A4"/>
    <w:rsid w:val="001E5709"/>
    <w:rsid w:val="00214AEF"/>
    <w:rsid w:val="00245A9A"/>
    <w:rsid w:val="002548D3"/>
    <w:rsid w:val="00277F2B"/>
    <w:rsid w:val="002974D8"/>
    <w:rsid w:val="002C5459"/>
    <w:rsid w:val="002D3225"/>
    <w:rsid w:val="002F7AD1"/>
    <w:rsid w:val="0030549F"/>
    <w:rsid w:val="00317FA3"/>
    <w:rsid w:val="00325708"/>
    <w:rsid w:val="00342EC2"/>
    <w:rsid w:val="00352E9E"/>
    <w:rsid w:val="00395803"/>
    <w:rsid w:val="003A433D"/>
    <w:rsid w:val="003C206C"/>
    <w:rsid w:val="004726F3"/>
    <w:rsid w:val="00475744"/>
    <w:rsid w:val="0047726E"/>
    <w:rsid w:val="004A617A"/>
    <w:rsid w:val="004D7806"/>
    <w:rsid w:val="0053070B"/>
    <w:rsid w:val="00542B7F"/>
    <w:rsid w:val="00590AF6"/>
    <w:rsid w:val="005B1782"/>
    <w:rsid w:val="005B2B3C"/>
    <w:rsid w:val="005E3910"/>
    <w:rsid w:val="006025B8"/>
    <w:rsid w:val="00621921"/>
    <w:rsid w:val="00652571"/>
    <w:rsid w:val="006635B9"/>
    <w:rsid w:val="00684C0C"/>
    <w:rsid w:val="00691D16"/>
    <w:rsid w:val="00694E07"/>
    <w:rsid w:val="006C05E0"/>
    <w:rsid w:val="006C2F9A"/>
    <w:rsid w:val="006E4D48"/>
    <w:rsid w:val="00725282"/>
    <w:rsid w:val="00745BCF"/>
    <w:rsid w:val="0076155B"/>
    <w:rsid w:val="00763D56"/>
    <w:rsid w:val="007B6A14"/>
    <w:rsid w:val="007C092E"/>
    <w:rsid w:val="007E307F"/>
    <w:rsid w:val="007F1108"/>
    <w:rsid w:val="00802424"/>
    <w:rsid w:val="00842326"/>
    <w:rsid w:val="00846208"/>
    <w:rsid w:val="0088497D"/>
    <w:rsid w:val="008A2AE5"/>
    <w:rsid w:val="008B06C2"/>
    <w:rsid w:val="008C462C"/>
    <w:rsid w:val="008D47E5"/>
    <w:rsid w:val="008D5515"/>
    <w:rsid w:val="008F582F"/>
    <w:rsid w:val="00915C29"/>
    <w:rsid w:val="009225D1"/>
    <w:rsid w:val="009610F4"/>
    <w:rsid w:val="009B46DD"/>
    <w:rsid w:val="009C5341"/>
    <w:rsid w:val="009C7BC3"/>
    <w:rsid w:val="009E3400"/>
    <w:rsid w:val="00A07152"/>
    <w:rsid w:val="00A11676"/>
    <w:rsid w:val="00A132B9"/>
    <w:rsid w:val="00A528D2"/>
    <w:rsid w:val="00A5733F"/>
    <w:rsid w:val="00A73F76"/>
    <w:rsid w:val="00AA46C7"/>
    <w:rsid w:val="00AB0621"/>
    <w:rsid w:val="00AC3371"/>
    <w:rsid w:val="00AC48B7"/>
    <w:rsid w:val="00B022FF"/>
    <w:rsid w:val="00B57DD4"/>
    <w:rsid w:val="00B833A0"/>
    <w:rsid w:val="00BA266B"/>
    <w:rsid w:val="00BB6C65"/>
    <w:rsid w:val="00BF4584"/>
    <w:rsid w:val="00C75170"/>
    <w:rsid w:val="00C860F4"/>
    <w:rsid w:val="00C92B19"/>
    <w:rsid w:val="00CA4301"/>
    <w:rsid w:val="00CC36B8"/>
    <w:rsid w:val="00CD1A12"/>
    <w:rsid w:val="00CD3EEC"/>
    <w:rsid w:val="00CD636E"/>
    <w:rsid w:val="00D05A26"/>
    <w:rsid w:val="00D14621"/>
    <w:rsid w:val="00D52555"/>
    <w:rsid w:val="00D81924"/>
    <w:rsid w:val="00D92066"/>
    <w:rsid w:val="00DA248F"/>
    <w:rsid w:val="00DB60DE"/>
    <w:rsid w:val="00DC3024"/>
    <w:rsid w:val="00DD1273"/>
    <w:rsid w:val="00DF20C2"/>
    <w:rsid w:val="00DF49C2"/>
    <w:rsid w:val="00E003EF"/>
    <w:rsid w:val="00E66C9E"/>
    <w:rsid w:val="00E80D3E"/>
    <w:rsid w:val="00E94E18"/>
    <w:rsid w:val="00EA4B0E"/>
    <w:rsid w:val="00EB0D58"/>
    <w:rsid w:val="00EB48E7"/>
    <w:rsid w:val="00ED4A72"/>
    <w:rsid w:val="00ED6EF4"/>
    <w:rsid w:val="00F33B01"/>
    <w:rsid w:val="00F4745B"/>
    <w:rsid w:val="00F5141E"/>
    <w:rsid w:val="00F703B5"/>
    <w:rsid w:val="00F70B88"/>
    <w:rsid w:val="00F71FCF"/>
    <w:rsid w:val="00FA1E55"/>
    <w:rsid w:val="00FA5034"/>
    <w:rsid w:val="00FC57AD"/>
    <w:rsid w:val="00FC74FE"/>
    <w:rsid w:val="00FD7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C458579-56E6-4BF8-BAAD-9A422C72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20" w:hangingChars="300" w:hanging="720"/>
    </w:pPr>
    <w:rPr>
      <w:sz w:val="24"/>
    </w:rPr>
  </w:style>
  <w:style w:type="paragraph" w:styleId="2">
    <w:name w:val="Body Text Indent 2"/>
    <w:basedOn w:val="a"/>
    <w:semiHidden/>
    <w:pPr>
      <w:ind w:left="240" w:hangingChars="100" w:hanging="240"/>
    </w:pPr>
    <w:rPr>
      <w:sz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a6">
    <w:name w:val="Body Text"/>
    <w:basedOn w:val="a"/>
    <w:semiHidden/>
    <w:rPr>
      <w:sz w:val="24"/>
    </w:rPr>
  </w:style>
  <w:style w:type="paragraph" w:styleId="a7">
    <w:name w:val="Note Heading"/>
    <w:basedOn w:val="a"/>
    <w:next w:val="a"/>
    <w:semiHidden/>
    <w:pPr>
      <w:jc w:val="center"/>
    </w:pPr>
    <w:rPr>
      <w:sz w:val="24"/>
    </w:rPr>
  </w:style>
  <w:style w:type="paragraph" w:styleId="a8">
    <w:name w:val="Closing"/>
    <w:basedOn w:val="a"/>
    <w:semiHidden/>
    <w:pPr>
      <w:jc w:val="right"/>
    </w:pPr>
    <w:rPr>
      <w:sz w:val="24"/>
    </w:rPr>
  </w:style>
  <w:style w:type="paragraph" w:styleId="3">
    <w:name w:val="Body Text Indent 3"/>
    <w:basedOn w:val="a"/>
    <w:semiHidden/>
    <w:pPr>
      <w:ind w:left="180" w:hangingChars="75" w:hanging="180"/>
    </w:pPr>
    <w:rPr>
      <w:sz w:val="24"/>
    </w:rPr>
  </w:style>
  <w:style w:type="paragraph" w:styleId="a9">
    <w:name w:val="Balloon Text"/>
    <w:basedOn w:val="a"/>
    <w:link w:val="aa"/>
    <w:uiPriority w:val="99"/>
    <w:semiHidden/>
    <w:unhideWhenUsed/>
    <w:rsid w:val="00842326"/>
    <w:rPr>
      <w:rFonts w:ascii="Arial" w:eastAsia="ＭＳ ゴシック" w:hAnsi="Arial"/>
      <w:sz w:val="18"/>
      <w:szCs w:val="18"/>
    </w:rPr>
  </w:style>
  <w:style w:type="character" w:customStyle="1" w:styleId="aa">
    <w:name w:val="吹き出し (文字)"/>
    <w:link w:val="a9"/>
    <w:uiPriority w:val="99"/>
    <w:semiHidden/>
    <w:rsid w:val="00842326"/>
    <w:rPr>
      <w:rFonts w:ascii="Arial" w:eastAsia="ＭＳ ゴシック" w:hAnsi="Arial" w:cs="Times New Roman"/>
      <w:kern w:val="2"/>
      <w:sz w:val="18"/>
      <w:szCs w:val="18"/>
    </w:rPr>
  </w:style>
  <w:style w:type="table" w:styleId="ab">
    <w:name w:val="Table Grid"/>
    <w:basedOn w:val="a1"/>
    <w:uiPriority w:val="59"/>
    <w:rsid w:val="00B833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604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43DD1-C378-44DE-B88D-6AAD140B8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506</Words>
  <Characters>2885</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希望型指名競争入札実施要領</vt:lpstr>
      <vt:lpstr>希望型指名競争入札実施要領</vt:lpstr>
    </vt:vector>
  </TitlesOfParts>
  <Company>和泉市</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希望型指名競争入札実施要領</dc:title>
  <dc:subject/>
  <dc:creator>OA28872</dc:creator>
  <cp:keywords/>
  <cp:lastModifiedBy>山下　勝</cp:lastModifiedBy>
  <cp:revision>12</cp:revision>
  <cp:lastPrinted>2018-06-11T01:16:00Z</cp:lastPrinted>
  <dcterms:created xsi:type="dcterms:W3CDTF">2024-05-28T23:46:00Z</dcterms:created>
  <dcterms:modified xsi:type="dcterms:W3CDTF">2025-01-07T06:48:00Z</dcterms:modified>
</cp:coreProperties>
</file>